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c726" w14:textId="b00c7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ауданы Ақбұлақ ауылдық округі әкімінің 2020 жылғы 13 мамырдағы № 11 шешiмi. Түркістан облысының Әдiлет департаментiнде 2020 жылғы 14 мамырда № 5615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әкімшілік-аумақтық құрылысы туралы" 1993 жылғы 8 желтоқсандағы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тұрғындарының пікірін ескере отырып, Түркістан облыстық онамастика комиссиясының 2019 жылғы 26 желтоқсандағы қорытындысы негізінде Сайрам ауданы Ақбұлақ ауылдық округі әкімі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Ақбұлақ ауылдық округінің Ақбұлақ елді мекеніндегі көшелеріне келесі атаулар берілсін: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Ташимов көшесінің бірінші бөлігіне – Сауран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Ташимов көшесінің екінші бөлігіне – Яссы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Амангелді көшесінің бірінші бөлігіне – Түркістан атауы.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ауданы Ақбұлақ ауылдық округі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Сайрам ауданы әкімдігінің интернет-ресурсына орналастыруын қамтамасыз етсін.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Ақбұлақ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