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4826" w14:textId="9dc4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Бадам ауыл округі әкімінің 2020 жылғы 8 желтоқсандағы № 280 шешiмi. Түркістан облысының Әдiлет департаментiнде 2020 жылғы 9 желтоқсанда № 5937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тиiстi аумақ халқының пікірін ескере отырып және Түркістан облысы әкімдігінің жанындағы облыстық ономастика комиссиясының 2019 жылғы 26 желтоқсандағы қорытындысы негізінде, Ордабасы ауданы Бадам ауыл округі әкiмi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Бадам ауыл округіндегі атауы жоқ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Бадам ауылындағы атауы жоқ көшеге- Мырзашөл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Бадам ауылындағы атауы жоқ көшеге - Байқоныс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Бадам ауылындағы атауы жоқ көшеге - Ақотау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Бадам ауылындағы атауы жоқ көшеге - Серпін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Бадам ауылындағы атауы жоқ көшеге - Дәстүр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Бадам ауылындағы атауы жоқ көшеге - Желмая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Бадам ауылындағы атауы жоқ көшеге - Шаттық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Бадам ауылындағы атауы жоқ көшеге - Құлагер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Бадам ауылындағы атауы жоқ көшеге - Тәуелсіздік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Бадам ауылындағы атауы жоқ көшеге - Ордалы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Бадам ауылындағы атауы жоқ көшеге - Қайрат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Бадам ауылындағы атауы жоқ көшеге – Балуан шолақ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Бадам ауылындағы атауы жоқ көшеге - Атамұра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Бадам ауылындағы атауы жоқ көшеге - Құтмекен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Ақбұлақ ауылындағы атауы жоқ көшеге – Сұлтан Бейбарыс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Ақбұлақ ауылындағы атауы жоқ көшеге – Алпамыс батыр атауы;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"Бадам ауыл округі әкімі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Ордабасы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Бадам ауыл округі әкiмiнiң орынбасары Н.Байбаховқа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Бадам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