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9e70" w14:textId="1a99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2020 жылғы 27 ақпандағы № 54/333-VI "Қазығұрт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2020 жылғы 30 қыркүйектегі № 63/387-VI шешiмi. Түркістан облысының Әдiлет департаментiнде 2020 жылғы 16 қазанда № 5847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2020 жылғы 27 ақпандағы № 54/333-VI "Қазығұрт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 (Нормативтік құқықтық актілерді мемлекеттік тіркеу тізілімінде № 5459 нөмірмен тіркелген, 2020 жылғы 5 наурызда Қазақстан Республикасының Нормативтік құқықтық актілердің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берілсін."</w:t>
      </w:r>
    </w:p>
    <w:bookmarkStart w:name="z5" w:id="4"/>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Жылкыбаев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