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4d95" w14:textId="cb64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2015 жылғы 25 қарашадағы № 317-V "Индер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2020 жылғы 6 сәуірдегі № 370-VI шешімі. Атырау облысының Әділет департаментінде 2020 жылғы 15 сәуірде № 4636 болып тіркелді. Күші жойылды - Атырау облысы Индер аудандық мәслихатының 2024 жылғы 28 мамырдағы № 93-VIII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28.05.2024 № </w:t>
      </w:r>
      <w:r>
        <w:rPr>
          <w:rFonts w:ascii="Times New Roman"/>
          <w:b w:val="false"/>
          <w:i w:val="false"/>
          <w:color w:val="ff0000"/>
          <w:sz w:val="28"/>
        </w:rPr>
        <w:t>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2015 жылғы 25 қарашадағы № 317-V "Индер ауданында тұратын аз қамтылған отбасыларға (азаматтарға) тұрғын үй көмегін көрсетудің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3379 санымен тіркелген, аудандық "Дендер" газетінде 2015 жылғы 24 желтоқсанда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Индер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1-тармағының</w:t>
      </w:r>
      <w:r>
        <w:rPr>
          <w:rFonts w:ascii="Times New Roman"/>
          <w:b w:val="false"/>
          <w:i w:val="false"/>
          <w:color w:val="000000"/>
          <w:sz w:val="28"/>
        </w:rPr>
        <w:t xml:space="preserve"> 4) және 5) тармақшалары келесі редакцияда мазмұндалсын:</w:t>
      </w:r>
    </w:p>
    <w:bookmarkEnd w:id="3"/>
    <w:bookmarkStart w:name="z8" w:id="4"/>
    <w:p>
      <w:pPr>
        <w:spacing w:after="0"/>
        <w:ind w:left="0"/>
        <w:jc w:val="both"/>
      </w:pPr>
      <w:r>
        <w:rPr>
          <w:rFonts w:ascii="Times New Roman"/>
          <w:b w:val="false"/>
          <w:i w:val="false"/>
          <w:color w:val="000000"/>
          <w:sz w:val="28"/>
        </w:rPr>
        <w:t>
      "4)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bookmarkStart w:name="z9" w:id="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6"/>
    <w:bookmarkStart w:name="z11" w:id="7"/>
    <w:p>
      <w:pPr>
        <w:spacing w:after="0"/>
        <w:ind w:left="0"/>
        <w:jc w:val="both"/>
      </w:pP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бес пайызбен қатынасы.";</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End w:id="8"/>
    <w:bookmarkStart w:name="z13" w:id="9"/>
    <w:p>
      <w:pPr>
        <w:spacing w:after="0"/>
        <w:ind w:left="0"/>
        <w:jc w:val="both"/>
      </w:pPr>
      <w:r>
        <w:rPr>
          <w:rFonts w:ascii="Times New Roman"/>
          <w:b w:val="false"/>
          <w:i w:val="false"/>
          <w:color w:val="000000"/>
          <w:sz w:val="28"/>
        </w:rPr>
        <w:t>
      "5. Тұрғын үй көмегi жергiлiктi бюджет қаражаты есебiнен Индер ауданында тұрақты тұратын аз қамтылған отбасыларға (азаматтарға):</w:t>
      </w:r>
    </w:p>
    <w:bookmarkEnd w:id="9"/>
    <w:bookmarkStart w:name="z14" w:id="1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15" w:id="11"/>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1"/>
    <w:bookmarkStart w:name="z16" w:id="12"/>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2"/>
    <w:bookmarkStart w:name="z17"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18" w:id="14"/>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4"/>
    <w:bookmarkStart w:name="z19"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bookmarkEnd w:id="15"/>
    <w:bookmarkStart w:name="z20" w:id="16"/>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комиссиясына (Қ. Гильманов) жүктелсін.</w:t>
      </w:r>
    </w:p>
    <w:bookmarkEnd w:id="16"/>
    <w:bookmarkStart w:name="z21" w:id="1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Альмурзиев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