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3be" w14:textId="e53b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20 наурыздағы № 66/8 шешімі. Солтүстік Қазақстан облысының Әділет департаментінде 2020 жылғы 30 наурызда № 6134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әкімі мәлімдеген қажеттілікті ескере отырып, Мамлют ауданының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