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9712" w14:textId="b959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49/17 "2020-2022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58/17 шешімі. Солтүстік Қазақстан облысының Әділет департаментінде 2020 жылғы 16 қарашада № 6658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49/17 "2020-2022 жылдарға арналғанҚызылжар ауданының Петерфельд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63 698,5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53 461,8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65 633,8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- 11 935,3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11 935,3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1 935,3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53 461,8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