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2f1e" w14:textId="6cd2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49/20 "2020-2022 жылдарға арналған Қызылжар ауданының Рощин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30 қыркүйектегі № 57/13 шешімі. Солтүстік Қазақстан облысының Әділет департаментінде 2020 жылғы 2 қазанда № 6568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2020 жылғы 6 қаңтардағы № 49/20 "2020-2022 жылдарға арналған Қызылжар ауданының Рощин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5878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Қызылжар ауданының Рощин ауылдық округінің бюджеті осы шешімге тиісінше 1, 2 және 3-қосымшаларға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45 185,3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6 384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38 681,3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46 484,3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- 1 299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1 299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1 299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М.Данилова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30 қыркүйегі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6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Рощин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45 185,3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38 681,3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38 681,3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46 484,3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16 617,8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16 617,8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16 617,8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15 611,5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15 611,5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15 611,5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