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df4c" w14:textId="2aed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49/6 "2020-2022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17 шілдедегі № 55/3 шешімі. Солтүстік Қазақстан облысының Әділет департаментінде 2020 жылғы 23 шілдеде № 6461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49/6 "2020-2022 жылдарға арналған Қызылжар ауданының Асаново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Асаново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333 406,7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328 801,7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333 406,7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Асаново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333 406,7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328 801,7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328 801,7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333 406,7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12 547,7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