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b369" w14:textId="0a9b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49/17 "2020-2022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55/6 шешімі. Солтүстік Қазақстан облысының Әділет департаментінде 2020 жылғы 21 шілдеде № 6458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49/17 "2020-2022 жылдарға арналған Қызылжар ауданының Петерфельд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62 824,5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- 11 935,3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11 935,3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50 334,5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