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27ff" w14:textId="9b62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49/23 "2020-2022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17 шілдедегі № 55/8 шешімі. Солтүстік Қазақстан облысының Әділет департаментінде 2020 жылғы 21 шілдеде № 6454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49/23 "2020-2022 жылдарға арналған Қызылжар ауданының Якорь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204 833,9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192 215,9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207 918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- 13 084,1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13 084,1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204 833,9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192 215,9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192 215,9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-13 084,1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