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bb37" w14:textId="810b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49/23 "2020-2022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10 ақпандағы № 50/19 шешімі. Солтүстік Қазақстан облысының Әділет департаментінде 2020 жылғы 13 ақпанда № 6014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49/23 "2020-2022 жылдарға арналған Қызылжар ауданының Якорь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69 802,9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52 384,9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- 1 084,1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10 ақпаны № 50/19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49/23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