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3dc3" w14:textId="9673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2020 жылғы 23 желтоқсандағы № 485/63 шешімі. Павлодар облысының Әділет департаментінде 2020 жылғы 29 желтоқсанда № 7136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06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xml:space="preserve">
      2.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End w:id="2"/>
    <w:bookmarkStart w:name="z4" w:id="3"/>
    <w:p>
      <w:pPr>
        <w:spacing w:after="0"/>
        <w:ind w:left="0"/>
        <w:jc w:val="both"/>
      </w:pPr>
      <w:r>
        <w:rPr>
          <w:rFonts w:ascii="Times New Roman"/>
          <w:b w:val="false"/>
          <w:i w:val="false"/>
          <w:color w:val="000000"/>
          <w:sz w:val="28"/>
        </w:rPr>
        <w:t xml:space="preserve">
      3. Екібастұз қалалық мәслихатының 2020 жылғы 29 сәуірдегі "2020 жылға арналған Екібастұз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420/53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6824 болып тіркелген, 2020 жылғы 06 мамырда Қазақстан Республикасы нормативтік құқықтық актілерінің электрондық түрдегі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4.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Мусанап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