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e798" w14:textId="a8be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Қарасу ауданы мәслихатының 2020 жылғы 18 наурыздағы № 391 шешімі. Қостанай облысының Әділет департаментінде 2020 жылғы 27 наурызда № 9049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Қарасу ауданы мәслихатының 30.05.2025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30.05.2025 </w:t>
      </w:r>
      <w:r>
        <w:rPr>
          <w:rFonts w:ascii="Times New Roman"/>
          <w:b w:val="false"/>
          <w:i w:val="false"/>
          <w:color w:val="00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2018 жылғы 11 қазандағы </w:t>
      </w:r>
      <w:r>
        <w:rPr>
          <w:rFonts w:ascii="Times New Roman"/>
          <w:b w:val="false"/>
          <w:i w:val="false"/>
          <w:color w:val="000000"/>
          <w:sz w:val="28"/>
        </w:rPr>
        <w:t>№ 267</w:t>
      </w:r>
      <w:r>
        <w:rPr>
          <w:rFonts w:ascii="Times New Roman"/>
          <w:b w:val="false"/>
          <w:i w:val="false"/>
          <w:color w:val="000000"/>
          <w:sz w:val="28"/>
        </w:rPr>
        <w:t xml:space="preserve"> шешімінің (2018 жылғы 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8071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