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a0a5" w14:textId="e1da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9 желтоқсандағы № 2146 қаулысы. Қостанай облысының Әділет департаментінде 2020 жылғы 11 желтоқсанда № 9626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"Су тазарту құрылыстарынан Киевская көшесіне дейінгі Индустриялық су құбыры" объектісі бойынша инженерлік желілер мен тораптарды жүргізу мен пайдалану мақсатында Қостанай қаласында орналасқан, жалпы алаңы 10,9182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