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a53c" w14:textId="b9aa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белгiлеу туралы</w:t>
      </w:r>
    </w:p>
    <w:p>
      <w:pPr>
        <w:spacing w:after="0"/>
        <w:ind w:left="0"/>
        <w:jc w:val="both"/>
      </w:pPr>
      <w:r>
        <w:rPr>
          <w:rFonts w:ascii="Times New Roman"/>
          <w:b w:val="false"/>
          <w:i w:val="false"/>
          <w:color w:val="000000"/>
          <w:sz w:val="28"/>
        </w:rPr>
        <w:t>Қызылорда облысы Жаңақорған аудандық мәслихатының 2020 жылғы 10 маусымдағы № 464 шешімі. Қызылорда облысының Әділет департаментінде 2020 жылғы 15 маусымда № 7517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кодексi" Қазақстан Республикасының 2015 жылғы 23 қарашадағы Кодексiнің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Жаңақорған аудандық мәслихатыШЕШІМ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Жаңақорған аудандық мәслихатының 23.04.2021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кезектен тыс ХLV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w:t>
            </w:r>
            <w:r>
              <w:br/>
            </w:r>
            <w:r>
              <w:rPr>
                <w:rFonts w:ascii="Times New Roman"/>
                <w:b w:val="false"/>
                <w:i/>
                <w:color w:val="000000"/>
                <w:sz w:val="20"/>
              </w:rPr>
              <w:t>хатшысының 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