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f32" w14:textId="a97a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30 желтоқсандағы XXXIX сессиясының "2020-2022 жылдарға арналған аудандық бюджет туралы"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28 сәуірдегі № 368 шешімі. Қарағанды облысының Әділет департаментінде 2020 жылғы 30 сәуірде № 5815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30 желтоқсандағы ХXXIX сессиясының № 342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болып тіркелген, 2020 жылғы 11 қаңтардағы "Ұлытау" № 2-3 (6233)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8 783 454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7 137 020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1 638 029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10 837 049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53 124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83 507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30 383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2 106 719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2 106 719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2 050 052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87 051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Ұлытау ауданы әкімдігінің 2020 жылға арналған резерві 46 016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жылға арналған кенттер, ауылдық округтер бюджеттеріне аудандық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құрамында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орталығының және этноауылдың инженерлік-байланыс инфрақұрылымын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бюджеттеріне аудандық бюджеттен нысаналы трансферттер мен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