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0d9" w14:textId="adfc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44 сессиясының 2020 жылғы 14 қаңтардағы № 4 "2020-2022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 желтоқсандағы № 4 шешімі. Қарағанды облысының Әділет департаментінде 2020 жылғы 9 желтоқсанда № 6120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44 сессиясының 2020 жылғы 14 қаңтардағы № 4 "2020-2022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5686 болып тіркелген, Қазақстан Республикасы нормативтік құқықтық актілерінің эталондық бақылау банкінде электрондық түрде 2020 жылы 23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345 135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326 243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349 425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226 955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9 000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217 955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232 195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5 240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218 610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52 560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166 050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221 404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2 794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321 288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312 188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322 515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72 354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5 723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66 631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73 626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42 375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40 633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42 676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2 900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40 857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47 385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3 628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81 044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79 934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81 611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110 029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3 211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106 468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110 732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158 585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16 303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142 282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163 405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28 137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27 124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28 137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25 134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443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478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24 213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25 134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33 756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426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32 987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33 756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29 946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1 591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27 198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29 946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Қызылқаиың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42 345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41 105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42 345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40 498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761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37 887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40 498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33 363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32 480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33 363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40 112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38 941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40 112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47 826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1 709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2 989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43 128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47 826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37 294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615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35 932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37 294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46 108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449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44 729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46 108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55 557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907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54 320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55 557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47 142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2 290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41 914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47 142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80 186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2 257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77 929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80 186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–59 925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22 403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206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22 074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22 403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2020-2022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34 383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526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30 437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34 383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35 685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823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2 172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32 690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35 685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2020-2022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43 099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3 069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1 753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38 277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43 099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42 493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3 548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38 455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42 493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Ақбел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Қызылқайың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Ботақара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Бұқар жырау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Гагарин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Жанаталап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Тұзды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Жаңаөзен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Самарканд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Суықсу ауылының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Тоғызқұдық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