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ec2e" w14:textId="e05e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Шахтинск аймағындағы кенттер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24 желтоқсандағы № 1781/45 шешімі. Қазақстан Республикасының Әділет министрлігінде 2020 жылғы 30 желтоқсанда № 21966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451 564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44 872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- 406 626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- 461 394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-9 830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9 830 мың теңге: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23.12.2021 № 99/10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Шахтинск аймағының кенттері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5–қосымшаға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23.12.2021 № 99/10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 дентүсетін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 інқам 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Шахан кенті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04.11.2021 № 88/9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Долинка кенті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04.11.2021 № 88/9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 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Новодолинский кенті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23.12.2021 № 99/10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