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4132" w14:textId="f39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жергілікті маңызы бар ерекше қорғалатын табиғи аумақтарды пайдаланғаны үшін төлемақы ставкасын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11 маусымдағы № 537 шешімі. Қарағанды облысының Әділет департаментінде 2020 жылғы 19 маусымда № 5889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2006 жылғы 7 шілдедегі "</w:t>
      </w:r>
      <w:r>
        <w:rPr>
          <w:rFonts w:ascii="Times New Roman"/>
          <w:b w:val="false"/>
          <w:i w:val="false"/>
          <w:color w:val="000000"/>
          <w:sz w:val="28"/>
        </w:rPr>
        <w:t>Ерекше қорғалатын табиғи аумақтар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облыстық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жергілікті маңызы бар ерекше қорғалатын табиғи аумақтарды пайдаланғаны үшін төлемақы республикалық бюджет туралы заңда белгіленген, тиісті қаржы жылының 1 қаңтарында қолданыста болатын 0,1 айлық есептік көрсеткіш есебінен ерекше қорғалатын табиғи аумақта болған әрбір күн үшін ставкалары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(С.Ж. Шайдаров)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