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3e40" w14:textId="e2d3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Шу аудандық мәслихатының 2020 жылғы 20 сәуірдегі № 61-3 шешімі. Жамбыл облысының Әділет департаментінде 2020 жылғы 22 сәуірде № 4580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 әкімімен мәлімдеген қажеттілікті ескере отырып, ауданның ауылдық елді мекендеріне 2020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 айқындалсын: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