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2cf4" w14:textId="2692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2020 жылғы 20 сәуірдегі № 71-6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29 қыркүйектегі № 79-2 шешімі. Жамбыл облысының Әділет департаментінде 2020 жылғы 30 қыркүйекте № 4752 болып тіркелді. Күші жойылды - Жамбыл облысы Талас аудандық мәслихатының 2021 жылғы 25 ақпандағы № 3-3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Талас аудандық мәслихатының 2020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4572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жылы 27 сәуірінде электронды түрде Қазақстан Республикасы нормативтік құқыттық актілерінің эталондық бақылау банкінде жарияланған) мынадай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Талас ауданы бойынша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Өмірлік қиын жағдай туындаған кезде әлеуметтік көмек алу үшін өтініш беруші өзінің немесе отбасының атынан уәкілетті органға немесе кент, ауыл, ауылдық округ әкіміне өтінішке қоса мынадай құжаттарды: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құжатты;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Үлгілік қағидаларға 1 қосымшаға сәйкес адамның (отбасының) құрамы туралы мәліметтерді;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адамның (отбасы мүшелерінің) табыстары туралы мәліметтерді;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өмірлік қиын жағдайдың туындағанын растайтын актіні және/немесе құжатты ұсынады.".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Талас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