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394a" w14:textId="2e33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төтенше жағдай жариялау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Еңбекші ауданы әкімінің 2020 жылғы 8 маусымдағы № 1 шешімі. Шымкент қаласының Әділет департаментінде 2020 жылғы 12 маусымда № 109 болып тіркелді. Күші жойылды - Шымкент қаласы Еңбекші ауданы әкімінің 2021 жылғы 28 маусымдағы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Еңбекші ауданы әкімінің 28.06.2021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Шымкент қаласының төтенше жағдайлардың алдын алу және оларды жою жөніндегі комиссия отырысының 2020 жылғы 18 мамырдағы № 5 хаттамасына сәйкес, Еңбекші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қаласы, Еңбекші ауданында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"Еңбекші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күннен бастап күнтізбелік он күн ішінде оның көшірмесі Шымкент қаласында таратылатын баспа басылымдарына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 ауданы әкімінің орынбасары А. Малаховқа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