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88da" w14:textId="ab78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Абай ауданы әкімінің 2020 жылғы 1 қыркүйектегі № 3 шешімі. Шымкент қаласының Әділет департаментінде 2020 жылғы 1 қыркүйекте № 121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Шымкент қаласының төтенше жағдайлардың алдын алу және оларды жою жөніндегі коммисия отырысының 2019 жылғы 29 тамыздағы № 9 хаттамасына сәйкес, Шымкент қаласы Абай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Абай ауданында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күннен бастап күнтізбелік он күн ішінде оның көшірмесі Шымкент қаласында таратылатын баспа басылымдарына ресми жариялауға жіберілуді;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Абай ауданы әкімінің орынбасары Н.Тілешке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