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c9de" w14:textId="d40c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Құдықсай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417 шешімі. Ақтөбе облысының Әділет департаментінде 2020 жылғы 24 қаңтарда № 6786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Құдықсай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20 122,0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19 622,0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20 122,0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сәйкес, аудандық бюджеттен Құдықсай ауылдық округінің бюджетіне берілген субвенция көлемі 2020 жылға 15 026,0 мың теңге сомасында көзделген.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жылдарға арналған Никельтау ауылының бюджетіне аудандык бюджеттен 4 000,0 мың теңге сомасында ағымдағы нысаналы трансферттің түсімі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трансферттің сомасын бөлу Құдықсай ауылдық округі әкімінің шешімі негізінде жүзеге асырылады.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417 шешіміне 1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Құдықсай ауылдық округ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2950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13 406.0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417 шешіміне 2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3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ауылдық округ бюджеті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