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763" w14:textId="6af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10 қарашадағы № 415 шешімі. Ақтөбе облысының Әділет департаментінде 2020 жылғы 12 қарашада № 7629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"24 584,7" сандары "25 504,7"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"23 682" сандары "24 602"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"24 584,7" сандары "25 504,7"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"192 180,1" сандары "186 126,1"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"189 655,1" сандары "183 601,1"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"193 861,8" сандары "187 807,8"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"22 406,7" сандары "23 609,7"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"21 262,4" сандары "22 465,4"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"22 406,7" сандары "23 609,7"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"21 291,1" сандары "20 991,2"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"20 314,9" сандары "20 015"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"21 291,1" сандары "20 991,2"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"583 557" сандары "591 697,5"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"541 971" сандары "550 111,5"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"587 084,5" сандары "595 225"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"0" саны "723 344,8"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"0" саны "723 344,8"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"-767 440,5" сандары "-726 872,3"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"767 440,5" сандары "726 872,3"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"26 455" сандары "26 813"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"23 108" сандары "23 466"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"26 455" сандары "26 813"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"113 316,4" сандары "112 526,4"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"109 005,4" сандары "108 215,4"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"116 605,8" сандары "115 815,8"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"0" саны "94 940,4"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"0" саны "94 940,4"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"-104 511" сандары "-98 229,8"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"104 511" сандары "98 229,8"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"103 421,4" сандары "100 837,4"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"101 010,6" сандары "98 426,6"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"103 421,4" сандары "100 837,4" сандарымен ауыстырылсын.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591 697,5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-98 229,8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10 қарашадағы № 415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