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d66f" w14:textId="2a1d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Қобда ауылдық округі әкімінің 2020 жылғы 11 қарашадағы № 75 шешімі. Ақтөбе облысының Әділет департаментінде 2020 жылғы 13 қарашада № 7643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жанындағы облыстық ономастика комиссиясының 2020 жылдың 27 шілдедегі қорытындысының негізінде және тиісті аумақ халқының пiкiрiн ескере отырып, Қобда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ауылының атаусыз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"Әл - Фараби";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"Қобыланды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"Махамбет Өтемісұлы";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"Бөгенбай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"Мәншүк Мәметова";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"Едіге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"Мәңгілік 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"Тәуелсіздік".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Қобда ауылдық округі әкімінің аппараты"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Қобда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өзімен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Кульниязов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ауылының атаусыз көшесіне "Әл-Фараби" атауын беру туралы 1 схемалық карта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ауылының атаусыз көшесіне "Қобыланды батыр" атауын беру туралы 2 схемалық карта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ауылының атаусыз көшесіне "Махамбет Өтемісұлы" атауын беру туралы 3 схемалық карта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ауылының атаусыз көшесіне "Бөгенбай батыр" атауын беру туралы 4 схемалық карта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ауылының атаусыз көшесіне "Мәншүк Мәметова" атауын беру туралы 5 схемалық карта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ауылының атаусыз көшесіне "Едіге батыр" атауын беру туралы 6 схемалық карта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ауылының атаусыз көшесіне "Мәңгілік ел" атауын беру туралы 7 схемалық карта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ауылының атаусыз көшесіне "Тәуелсіздік" атауын беру туралы 8 схемалық карта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