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07b" w14:textId="5903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25 желтоқсандағы № С-52/2 "2020-2022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25 қарашадағы № С-68/2 шешімі. Ақмола облысының Әділет департаментінде 2020 жылғы 26 қарашада № 8172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кенттердің, ауылдық округтердің бюджеттері туралы" 2019 жылғы 25 желтоқсандағы № С-52/2 (Нормативтік құқықтық актілерді мемлекеттік тіркеу тізілімінде № 7633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117 095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126 307,6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32 298,1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157,8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43 162,6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43 171,4 мың теңге;";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22 748,4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22 749,4 мың теңге;";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36 184,4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36 755 мың теңге;";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23 408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24 111,2 мың теңге;";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19 400 мың теңге;";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13 546,7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13 546,7 мың теңге;";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24 568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24 568 мың теңге;";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17 896,4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17 896,4 мың теңге;";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18 010,7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18 010,7 мың теңге;";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Андреевка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