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ef14" w14:textId="221e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2020 жылғы 31 наурыздағы № 40/2 "2020 жылға арналған Сандықтау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шешімінің күші жойылды деп тану туралы</w:t>
      </w:r>
    </w:p>
    <w:p>
      <w:pPr>
        <w:spacing w:after="0"/>
        <w:ind w:left="0"/>
        <w:jc w:val="both"/>
      </w:pPr>
      <w:r>
        <w:rPr>
          <w:rFonts w:ascii="Times New Roman"/>
          <w:b w:val="false"/>
          <w:i w:val="false"/>
          <w:color w:val="000000"/>
          <w:sz w:val="28"/>
        </w:rPr>
        <w:t>Ақмола облысы Сандықтау аудандық мәслихатының 2020 жылғы 7 желтоқсандағы № 51/2 шешімі. Ақмола облысының Әділет департаментінде 2020 жылғы 10 желтоқсанда № 8213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"2020 жылға арналған Сандықтау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2020 жылғы 31 наурыздағы № 40/2 (Нормативтік құқықтық актілерді мемлекеттік тіркеу тізілімінде № 7785 болып тіркелген, 2020 жылғы 3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