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93f2" w14:textId="2c19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2019 жылғы 25 желтоқсандағы № 6С-48/2 "2020-2022 жылдарға арналған Жарқайың ауданының Державин қаласы, ауылдық округтері мен ауылдарының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2020 жылғы 29 мамырдағы № 6С-54/2 шешімі. Ақмола облысының Әділет департаментінде 2020 жылғы 1 маусымда № 7868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"2020-2022 жылдарға арналған Жарқайың ауданының Державин қаласы, ауылдық округтері мен ауылдарының бюджеттері туралы" 2019 жылғы 25 желтоқсандағы № 6С-48/2 (Нормативтік құқықтық актілерді мемлекеттік тіркеу тізілімінде № 7647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Державин қаласының бюджеті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- 67466,0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- 30894,0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- 3440,0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- 33132,0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- 82042,0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-14576,0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- 14576,0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2020 жылға арналған Державин қаласы бюджеті көлемінде аудандық бюджеттен берілетін трансферттер 14186,0 мың теңге сомасында қарастырылғаны ескерілсін.";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Державин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82042,0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32832,6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32832,6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-14576,0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Уәлихан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Костычево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Нахимов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Жаңадала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Гастелло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Далабай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Құмсуат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Львов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Пригород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Пятигор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Тасөткел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Тассуат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