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1d03" w14:textId="c5d1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25 желтоқсандағы № 63/2 "2020-2022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17 қарашадағы № 79/3 шешімі. Ақмола облысының Әділет департаментінде 2020 жылғы 19 қарашада № 8157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Есіл қаласының, Красногорский кентінің, ауылдардың және ауылдық округтердің бюджеттері туралы" 2019 жылғы 25 желтоқсандағы № 63/2 (Нормативтік құқықтық актілерді мемлекеттік тіркеу тізілімінде № 7656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15448,3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13727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11829,8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10089 мың теңге;";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27314,8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23195 мың теңге;";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әкімдігі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Есіл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Бұзылық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Двуречный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Жаныспай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Знаменка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Интернациональный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Красивинский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Красногорский кентінің бюджеті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Московский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Орловка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Свободный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Юбилейный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