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9332" w14:textId="e099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2019 жылғы 25 желтоқсандағы № 6С-50/1 "2020-2022 жылдарға арналған Макинск қаласының, Бұланды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2020 жылғы 13 қарашадағы № 6С-64/2 шешімі. Ақмола облысының Әділет департаментінде 2020 жылғы 20 қарашада № 8160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"2020-2022 жылдарға арналған Макинск қаласының, Бұланды ауданының ауылдық округтерінің бюджеттері туралы" 2019 жылғы 25 желтоқсандағы № 6С-50/1 (Нормативтік құқықтық актілерді мемлекеттік тіркеу тізілімінде № 7646 болып тіркелген, 2020 жылғы 20 каңтарда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Журавлевка ауылдық округінің бюджеті тиісінше 28, 29 және 30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16993,0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14771,0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Макинск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Вознесенка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Қараөзек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Айнакөл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Амангелді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Капитоновка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Новобратск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Никольск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Карамышевка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Журавлевка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Ерголка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Алтынды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