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9fd4" w14:textId="0469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2020 жылғы 24 желтоқсандағы № 6С-78-3 шешімі. Ақмола облысының Әділет департаментінде 2020 жылғы 25 желтоқсанда № 8262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 мәслихат</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Ж.Дюсекеева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