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2d45" w14:textId="8472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аумағында орналасқан атауы жоқ бөгетінің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5 қазандағы № А-10/497 қаулысы. Ақмола облысының Әділет департаментінде 2020 жылғы 8 қазанда № 8066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ауданының аумағында орналасқан атауы жоқ бөгетінің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ауданының аумағында орналасқан атауы жоқ бөгетінің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ауданының аумағында орналасқан атауы жоқ бөгетінің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бөгет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Софиевка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Целиноград ауданының аумағында орналасқан атауы жоқ бөгетінің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