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b2c65" w14:textId="04b2c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қорының активтерін сыртқы басқарушыларды таңдау қағидаларын бекіту туралы" Қазақстан Республикасы Ұлттық Банкі Басқармасының 2020 жылғы 19 наурыздағы № 29 қаулысына өзгерістер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2020 жылғы 21 желтоқсандағы № 143 қаулысы. Қазақстан Республикасының Әділет министрлігінде 2020 жылғы 25 желтоқсанда № 21917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және Қазақстан Республикасының нормативтік құқықтық актілерін жетілдіру мақсатында Қазақстан Республикасы Ұлттық Банкінің Басқармасы ҚАУЛЫ ЕТЕДІ:</w:t>
      </w:r>
    </w:p>
    <w:bookmarkEnd w:id="0"/>
    <w:bookmarkStart w:name="z3" w:id="1"/>
    <w:p>
      <w:pPr>
        <w:spacing w:after="0"/>
        <w:ind w:left="0"/>
        <w:jc w:val="both"/>
      </w:pPr>
      <w:r>
        <w:rPr>
          <w:rFonts w:ascii="Times New Roman"/>
          <w:b w:val="false"/>
          <w:i w:val="false"/>
          <w:color w:val="000000"/>
          <w:sz w:val="28"/>
        </w:rPr>
        <w:t xml:space="preserve">
      1. "Қазақстан Республикасы Ұлттық қорының активтерін сыртқы басқарушыларды таңдау қағидаларын бекіту туралы" Қазақстан Республикасы Ұлттық Банкі Басқармасының 2020 жылғы 19 наурыздағы № 29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20243 болып тіркелген, 2020 жылғы 6 сәуірде Қазақстан Республикасы нормативтік құқықтық актілерінің эталондық бақылау банкінде жарияланған) мынадай өзгерістер енгізілсін:</w:t>
      </w:r>
    </w:p>
    <w:bookmarkEnd w:id="1"/>
    <w:bookmarkStart w:name="z4"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Ұлттық қорының активтерін сыртқы басқарушыларды таңдау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"17. Уәкілетті бөлімше Қағидаларға 3-қосымшаға сәйкес инвестициялық және операциялық дью-дилидженс шеңберінде қысқа тізімдегі Әлеуетті сыртқы басқарушылардың ұсыныстарын салыстырмалы талдауды жүзеге асыру үшін бағалау өлшемшарттарына сәйкес қысқа тізімдегі әлеуетті сыртқы басқарушылардың ұсыныстарына қосымша бағалау жүргізеді.";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Start w:name="z8" w:id="4"/>
    <w:p>
      <w:pPr>
        <w:spacing w:after="0"/>
        <w:ind w:left="0"/>
        <w:jc w:val="both"/>
      </w:pPr>
      <w:r>
        <w:rPr>
          <w:rFonts w:ascii="Times New Roman"/>
          <w:b w:val="false"/>
          <w:i w:val="false"/>
          <w:color w:val="000000"/>
          <w:sz w:val="28"/>
        </w:rPr>
        <w:t>
      2. Монетарлық операциялар департаменті Қазақстан Республикасының заңнамасында белгіленген тәртіппен:</w:t>
      </w:r>
    </w:p>
    <w:bookmarkEnd w:id="4"/>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қаулының осы тармағының 2) тармақшасында және 3-тармағында көзделген іс-шаралардың орындалуы туралы мәліметтерді ұсынуды қамтамасыз етсін.</w:t>
      </w:r>
    </w:p>
    <w:bookmarkStart w:name="z9" w:id="5"/>
    <w:p>
      <w:pPr>
        <w:spacing w:after="0"/>
        <w:ind w:left="0"/>
        <w:jc w:val="both"/>
      </w:pPr>
      <w:r>
        <w:rPr>
          <w:rFonts w:ascii="Times New Roman"/>
          <w:b w:val="false"/>
          <w:i w:val="false"/>
          <w:color w:val="000000"/>
          <w:sz w:val="28"/>
        </w:rPr>
        <w:t>
      3. Ақпарат және коммуникациялар департаменті – Ұлттық Банктің баспасөз қызметі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5"/>
    <w:bookmarkStart w:name="z10" w:id="6"/>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xml:space="preserve">
      5. Осы қаулы алғашқы ресми жарияланған күнінен кейін күнтізбелік он күн өткен соң қолданысқа енгізіледі. </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Ұлттық Банкінің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2020 жылғы 21 желтоқсандағы</w:t>
            </w:r>
            <w:r>
              <w:br/>
            </w:r>
            <w:r>
              <w:rPr>
                <w:rFonts w:ascii="Times New Roman"/>
                <w:b w:val="false"/>
                <w:i w:val="false"/>
                <w:color w:val="000000"/>
                <w:sz w:val="20"/>
              </w:rPr>
              <w:t>№ 143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қорының активтерін</w:t>
            </w:r>
            <w:r>
              <w:br/>
            </w:r>
            <w:r>
              <w:rPr>
                <w:rFonts w:ascii="Times New Roman"/>
                <w:b w:val="false"/>
                <w:i w:val="false"/>
                <w:color w:val="000000"/>
                <w:sz w:val="20"/>
              </w:rPr>
              <w:t>сыртқы басқарушыларды</w:t>
            </w:r>
            <w:r>
              <w:br/>
            </w:r>
            <w:r>
              <w:rPr>
                <w:rFonts w:ascii="Times New Roman"/>
                <w:b w:val="false"/>
                <w:i w:val="false"/>
                <w:color w:val="000000"/>
                <w:sz w:val="20"/>
              </w:rPr>
              <w:t>таңдау қағидаларына</w:t>
            </w:r>
            <w:r>
              <w:br/>
            </w:r>
            <w:r>
              <w:rPr>
                <w:rFonts w:ascii="Times New Roman"/>
                <w:b w:val="false"/>
                <w:i w:val="false"/>
                <w:color w:val="000000"/>
                <w:sz w:val="20"/>
              </w:rPr>
              <w:t>2-қосымша</w:t>
            </w:r>
          </w:p>
        </w:tc>
      </w:tr>
    </w:tbl>
    <w:bookmarkStart w:name="z13" w:id="8"/>
    <w:p>
      <w:pPr>
        <w:spacing w:after="0"/>
        <w:ind w:left="0"/>
        <w:jc w:val="left"/>
      </w:pPr>
      <w:r>
        <w:rPr>
          <w:rFonts w:ascii="Times New Roman"/>
          <w:b/>
          <w:i w:val="false"/>
          <w:color w:val="000000"/>
        </w:rPr>
        <w:t xml:space="preserve"> Әлеуетті сыртқы басқарушылардың ұсыныстарын салыстырмалы талдауды жүзеге асыру үшін бағалау өлшемшарттары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
        <w:gridCol w:w="9558"/>
        <w:gridCol w:w="741"/>
        <w:gridCol w:w="742"/>
        <w:gridCol w:w="742"/>
      </w:tblGrid>
      <w:tr>
        <w:trPr>
          <w:trHeight w:val="30" w:hRule="atLeast"/>
        </w:trPr>
        <w:tc>
          <w:tcPr>
            <w:tcW w:w="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Өлшемшарттарға берілетін балл (көрсеткіштің мәні пайызбен анықталды)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Жаһандық мандат</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мандат</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мандат</w:t>
            </w:r>
          </w:p>
        </w:tc>
      </w:tr>
      <w:tr>
        <w:trPr>
          <w:trHeight w:val="30" w:hRule="atLeast"/>
        </w:trPr>
        <w:tc>
          <w:tcPr>
            <w:tcW w:w="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Портфельді басқарудың тарихи нәтижелері (өңірлік мандатпен маманданған және жаһандық мандат бойынша басқарушыны таңдауға қатысатын әлеуетті сыртқы басқарушылардың ұсыныстарын салыстырмалы талдауды жүзеге асыру кезінде көрсеткіштер тиісті мандатпен қамтуға байланысты нормаланады)</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балл</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балл</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3 (үш) – 5 (бес) жылдағы жылдық геометриялық үстеме кірістілік (егер кезеңдегі үстеме кірістілік көрсеткіші 5 (бес) жылдан аз оң болған жағдайда, көрсеткіш 5 (бес) жылдағы кезеңге қатысты нормаланады)</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r>
              <w:br/>
            </w:r>
            <w:r>
              <w:rPr>
                <w:rFonts w:ascii="Times New Roman"/>
                <w:b w:val="false"/>
                <w:i w:val="false"/>
                <w:color w:val="000000"/>
                <w:sz w:val="20"/>
              </w:rPr>
              <w:t>
пайыз</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пайыз</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пайыз</w:t>
            </w:r>
          </w:p>
        </w:tc>
      </w:tr>
      <w:tr>
        <w:trPr>
          <w:trHeight w:val="30" w:hRule="atLeast"/>
        </w:trPr>
        <w:tc>
          <w:tcPr>
            <w:tcW w:w="0" w:type="auto"/>
            <w:vMerge/>
            <w:tcBorders>
              <w:top w:val="nil"/>
              <w:left w:val="single" w:color="cfcfcf" w:sz="5"/>
              <w:bottom w:val="single" w:color="cfcfcf" w:sz="5"/>
              <w:right w:val="single" w:color="cfcfcf" w:sz="5"/>
            </w:tcBorders>
          </w:tcP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коэффициенттің соңғы 3 (үш) – 5 (бес) жылдағы орташа арифметикалық көрсеткіші (егер кезеңдегі ақпараттық коэффициенттің көрсеткіші 5 (бес) жылдан кем оң болған жағдайда, көрсеткіш 5 (бес) жылдағы кезеңге қатысты нормаланады)</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r>
              <w:br/>
            </w:r>
            <w:r>
              <w:rPr>
                <w:rFonts w:ascii="Times New Roman"/>
                <w:b w:val="false"/>
                <w:i w:val="false"/>
                <w:color w:val="000000"/>
                <w:sz w:val="20"/>
              </w:rPr>
              <w:t>
пайыз</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пайыз</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пайыз</w:t>
            </w:r>
          </w:p>
        </w:tc>
      </w:tr>
      <w:tr>
        <w:trPr>
          <w:trHeight w:val="30" w:hRule="atLeast"/>
        </w:trPr>
        <w:tc>
          <w:tcPr>
            <w:tcW w:w="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және Активтер</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балл</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балл</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ұйым капиталының құрылымына қатысуы (employee owned)</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r>
              <w:br/>
            </w:r>
            <w:r>
              <w:rPr>
                <w:rFonts w:ascii="Times New Roman"/>
                <w:b w:val="false"/>
                <w:i w:val="false"/>
                <w:color w:val="000000"/>
                <w:sz w:val="20"/>
              </w:rPr>
              <w:t>
пайыз</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пайыз</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пайыз</w:t>
            </w:r>
          </w:p>
        </w:tc>
      </w:tr>
      <w:tr>
        <w:trPr>
          <w:trHeight w:val="30" w:hRule="atLeast"/>
        </w:trPr>
        <w:tc>
          <w:tcPr>
            <w:tcW w:w="0" w:type="auto"/>
            <w:vMerge/>
            <w:tcBorders>
              <w:top w:val="nil"/>
              <w:left w:val="single" w:color="cfcfcf" w:sz="5"/>
              <w:bottom w:val="single" w:color="cfcfcf" w:sz="5"/>
              <w:right w:val="single" w:color="cfcfcf" w:sz="5"/>
            </w:tcBorders>
          </w:tcP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басқарудағы активтердің орташа жылдық өзгеруі (пайызбен) (соңғы 3 (үш) – 5 (бес) жыл аралығындағы немесе басқарудың басынан бастап әкетілулер мен әкелінулер)</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r>
              <w:br/>
            </w:r>
            <w:r>
              <w:rPr>
                <w:rFonts w:ascii="Times New Roman"/>
                <w:b w:val="false"/>
                <w:i w:val="false"/>
                <w:color w:val="000000"/>
                <w:sz w:val="20"/>
              </w:rPr>
              <w:t>
пайыз</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пайыз</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пайыз</w:t>
            </w:r>
          </w:p>
        </w:tc>
      </w:tr>
      <w:tr>
        <w:trPr>
          <w:trHeight w:val="30" w:hRule="atLeast"/>
        </w:trPr>
        <w:tc>
          <w:tcPr>
            <w:tcW w:w="0" w:type="auto"/>
            <w:vMerge/>
            <w:tcBorders>
              <w:top w:val="nil"/>
              <w:left w:val="single" w:color="cfcfcf" w:sz="5"/>
              <w:bottom w:val="single" w:color="cfcfcf" w:sz="5"/>
              <w:right w:val="single" w:color="cfcfcf" w:sz="5"/>
            </w:tcBorders>
          </w:tcP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басқарудағы жалпы активтерге қатысты осы қаралатын мандат бойынша активтер көлемінің пайызы (өңірлік мандатпен маманданған және жаһандық мандат бойынша басқарушыны таңдауға қатысатын әлеуетті сыртқы басқарушылардың ұсыныстарын салыстырмалы талдауды жүзеге асыру кезінде өңірлік мандаттар бойынша активтердің көлемі пайдаланылады. Бұл мән тиісті мандаттың қамтылуына байланысты нормаланады)</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r>
              <w:br/>
            </w:r>
            <w:r>
              <w:rPr>
                <w:rFonts w:ascii="Times New Roman"/>
                <w:b w:val="false"/>
                <w:i w:val="false"/>
                <w:color w:val="000000"/>
                <w:sz w:val="20"/>
              </w:rPr>
              <w:t>
пайыз</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пайыз</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пайыз</w:t>
            </w:r>
          </w:p>
        </w:tc>
      </w:tr>
      <w:tr>
        <w:trPr>
          <w:trHeight w:val="30" w:hRule="atLeast"/>
        </w:trPr>
        <w:tc>
          <w:tcPr>
            <w:tcW w:w="0" w:type="auto"/>
            <w:vMerge/>
            <w:tcBorders>
              <w:top w:val="nil"/>
              <w:left w:val="single" w:color="cfcfcf" w:sz="5"/>
              <w:bottom w:val="single" w:color="cfcfcf" w:sz="5"/>
              <w:right w:val="single" w:color="cfcfcf" w:sz="5"/>
            </w:tcBorders>
          </w:tcP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басқарудағы жалпы активтерге институционалдық инвесторлардың активтері көлемінің үлесі</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r>
              <w:br/>
            </w:r>
            <w:r>
              <w:rPr>
                <w:rFonts w:ascii="Times New Roman"/>
                <w:b w:val="false"/>
                <w:i w:val="false"/>
                <w:color w:val="000000"/>
                <w:sz w:val="20"/>
              </w:rPr>
              <w:t>
пайыз</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пайыз</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пайыз</w:t>
            </w:r>
          </w:p>
        </w:tc>
      </w:tr>
      <w:tr>
        <w:trPr>
          <w:trHeight w:val="30" w:hRule="atLeast"/>
        </w:trPr>
        <w:tc>
          <w:tcPr>
            <w:tcW w:w="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балл</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балл</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мандат бойынша активтерді басқаруға жауапты портфельдік менеджерлер мен талдаушылардың орташа жұмыс тәжірибесі</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r>
              <w:br/>
            </w:r>
            <w:r>
              <w:rPr>
                <w:rFonts w:ascii="Times New Roman"/>
                <w:b w:val="false"/>
                <w:i w:val="false"/>
                <w:color w:val="000000"/>
                <w:sz w:val="20"/>
              </w:rPr>
              <w:t>
пайыз</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пайыз</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пайыз</w:t>
            </w:r>
          </w:p>
        </w:tc>
      </w:tr>
      <w:tr>
        <w:trPr>
          <w:trHeight w:val="30" w:hRule="atLeast"/>
        </w:trPr>
        <w:tc>
          <w:tcPr>
            <w:tcW w:w="0" w:type="auto"/>
            <w:vMerge/>
            <w:tcBorders>
              <w:top w:val="nil"/>
              <w:left w:val="single" w:color="cfcfcf" w:sz="5"/>
              <w:bottom w:val="single" w:color="cfcfcf" w:sz="5"/>
              <w:right w:val="single" w:color="cfcfcf" w:sz="5"/>
            </w:tcBorders>
          </w:tcP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компания бойынша инвестициялық блок қызметкерлерінің (портфельдік менеджерлер, талдаушылар, трейдерлер) арасында қызметкерлердің қозғалысы (ең аз мәні ескеріледі)</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r>
              <w:br/>
            </w:r>
            <w:r>
              <w:rPr>
                <w:rFonts w:ascii="Times New Roman"/>
                <w:b w:val="false"/>
                <w:i w:val="false"/>
                <w:color w:val="000000"/>
                <w:sz w:val="20"/>
              </w:rPr>
              <w:t>
пайыз</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пайыз</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пайыз</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басқарушының іс-әрекетінен немесе әрекетсіздігінен клиенттердің мүдделерін сақтандыру түрінің болуы</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r>
      <w:tr>
        <w:trPr>
          <w:trHeight w:val="30" w:hRule="atLeast"/>
        </w:trPr>
        <w:tc>
          <w:tcPr>
            <w:tcW w:w="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Басқарғаны үшін комиссиялық сыйақы деңгейі</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балл</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балл</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комиссиялық сыйақының деңгейі (ең аз мәні ескеріледі)</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r>
              <w:br/>
            </w:r>
            <w:r>
              <w:rPr>
                <w:rFonts w:ascii="Times New Roman"/>
                <w:b w:val="false"/>
                <w:i w:val="false"/>
                <w:color w:val="000000"/>
                <w:sz w:val="20"/>
              </w:rPr>
              <w:t>
пайыз</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пайыз</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пайыз</w:t>
            </w:r>
          </w:p>
        </w:tc>
      </w:tr>
      <w:tr>
        <w:trPr>
          <w:trHeight w:val="30" w:hRule="atLeast"/>
        </w:trPr>
        <w:tc>
          <w:tcPr>
            <w:tcW w:w="0" w:type="auto"/>
            <w:vMerge/>
            <w:tcBorders>
              <w:top w:val="nil"/>
              <w:left w:val="single" w:color="cfcfcf" w:sz="5"/>
              <w:bottom w:val="single" w:color="cfcfcf" w:sz="5"/>
              <w:right w:val="single" w:color="cfcfcf" w:sz="5"/>
            </w:tcBorders>
          </w:tcP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басқарушының басқаруды бастаған күнінен бастап (net new high basis since inception) өткен кезеңдердегі ұқсас көрсеткіштерден асатын оң үстеме кірістілікке қол жеткізілген жағдайда сыртқы басқару нәтижелері бойынша комиссиялық сыйақы төлеу қағидатын қабылдау</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br/>
            </w:r>
            <w:r>
              <w:rPr>
                <w:rFonts w:ascii="Times New Roman"/>
                <w:b w:val="false"/>
                <w:i w:val="false"/>
                <w:color w:val="000000"/>
                <w:sz w:val="20"/>
              </w:rPr>
              <w:t>
пайыз</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пайыз</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пайыз</w:t>
            </w:r>
          </w:p>
        </w:tc>
      </w:tr>
      <w:tr>
        <w:trPr>
          <w:trHeight w:val="30" w:hRule="atLeast"/>
        </w:trPr>
        <w:tc>
          <w:tcPr>
            <w:tcW w:w="0" w:type="auto"/>
            <w:vMerge/>
            <w:tcBorders>
              <w:top w:val="nil"/>
              <w:left w:val="single" w:color="cfcfcf" w:sz="5"/>
              <w:bottom w:val="single" w:color="cfcfcf" w:sz="5"/>
              <w:right w:val="single" w:color="cfcfcf" w:sz="5"/>
            </w:tcBorders>
          </w:tcP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басқару нәтижелері бойынша комиссиялық сыйақыны есептеу басталатын үстеме кірістіліктің ең төменгі шегі бойынша базалық комиссиялық сыйақыдан төмен емес талапты қабылдау</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br/>
            </w:r>
            <w:r>
              <w:rPr>
                <w:rFonts w:ascii="Times New Roman"/>
                <w:b w:val="false"/>
                <w:i w:val="false"/>
                <w:color w:val="000000"/>
                <w:sz w:val="20"/>
              </w:rPr>
              <w:t>
пайыз</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пайыз</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пайыз</w:t>
            </w:r>
          </w:p>
        </w:tc>
      </w:tr>
      <w:tr>
        <w:trPr>
          <w:trHeight w:val="30" w:hRule="atLeast"/>
        </w:trPr>
        <w:tc>
          <w:tcPr>
            <w:tcW w:w="0" w:type="auto"/>
            <w:vMerge/>
            <w:tcBorders>
              <w:top w:val="nil"/>
              <w:left w:val="single" w:color="cfcfcf" w:sz="5"/>
              <w:bottom w:val="single" w:color="cfcfcf" w:sz="5"/>
              <w:right w:val="single" w:color="cfcfcf" w:sz="5"/>
            </w:tcBorders>
          </w:tcP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бірнеше жыл ішінде сыртқы басқару нәтижелері бойынша комиссиялық сыйақыны бөліп төлеу талаптарын белгілеуді қабылдау</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пайыз</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пайыз</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r>
              <w:br/>
            </w:r>
            <w:r>
              <w:rPr>
                <w:rFonts w:ascii="Times New Roman"/>
                <w:b w:val="false"/>
                <w:i w:val="false"/>
                <w:color w:val="000000"/>
                <w:sz w:val="20"/>
              </w:rPr>
              <w:t>
пайыз</w:t>
            </w:r>
          </w:p>
        </w:tc>
      </w:tr>
      <w:tr>
        <w:trPr>
          <w:trHeight w:val="30" w:hRule="atLeast"/>
        </w:trPr>
        <w:tc>
          <w:tcPr>
            <w:tcW w:w="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Банкінің қызметкерлерін оқыту</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балл</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 1 (бір) – 2 (екі) апта қысқа мерзімді оқыту</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r>
              <w:br/>
            </w:r>
            <w:r>
              <w:rPr>
                <w:rFonts w:ascii="Times New Roman"/>
                <w:b w:val="false"/>
                <w:i w:val="false"/>
                <w:color w:val="000000"/>
                <w:sz w:val="20"/>
              </w:rPr>
              <w:t>
пайыз</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пайыз</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пайыз</w:t>
            </w:r>
          </w:p>
        </w:tc>
      </w:tr>
      <w:tr>
        <w:trPr>
          <w:trHeight w:val="30" w:hRule="atLeast"/>
        </w:trPr>
        <w:tc>
          <w:tcPr>
            <w:tcW w:w="0" w:type="auto"/>
            <w:vMerge/>
            <w:tcBorders>
              <w:top w:val="nil"/>
              <w:left w:val="single" w:color="cfcfcf" w:sz="5"/>
              <w:bottom w:val="single" w:color="cfcfcf" w:sz="5"/>
              <w:right w:val="single" w:color="cfcfcf" w:sz="5"/>
            </w:tcBorders>
          </w:tcP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 1 (бір) айдан бастап тағылымдамадан және (немесе) секондменттен өту мүмкіндігін ұсыну</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r>
              <w:br/>
            </w:r>
            <w:r>
              <w:rPr>
                <w:rFonts w:ascii="Times New Roman"/>
                <w:b w:val="false"/>
                <w:i w:val="false"/>
                <w:color w:val="000000"/>
                <w:sz w:val="20"/>
              </w:rPr>
              <w:t>
пайыз</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пайыз</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пайыз</w:t>
            </w:r>
          </w:p>
        </w:tc>
      </w:tr>
      <w:tr>
        <w:trPr>
          <w:trHeight w:val="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қаржылық қызметті жүзеге асыру мақсатында "Астана" халықаралық қаржы орталығының қолданыстағы құқығына сәйкес "Астана" халықаралық қаржы орталығының аумағында заңды тұлға құру немесе "Астана" халықаралық қаржы орталығының қатысушысы ретінде аккредиттеу туралы міндеттеме-хатты ұсыну не "Астана" халықаралық қаржы орталығының қатысушысы ретінде әлеуетті сыртқы басқарушының қаржылық қызметті жүзеге асыруы туралы растау-хатты ұсыну</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балл</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балл</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Әлеуетті сыртқы басқарушының ұсынысын бағалау олардың маңыздылығына сәйкес барлық бағалау өлшемшарттары бойынша балдардың сомасы болып табылады.</w:t>
      </w:r>
    </w:p>
    <w:p>
      <w:pPr>
        <w:spacing w:after="0"/>
        <w:ind w:left="0"/>
        <w:jc w:val="both"/>
      </w:pPr>
      <w:r>
        <w:rPr>
          <w:rFonts w:ascii="Times New Roman"/>
          <w:b w:val="false"/>
          <w:i w:val="false"/>
          <w:color w:val="000000"/>
          <w:sz w:val="28"/>
        </w:rPr>
        <w:t>
      2. Балдарды есептеу үшін әрбір көрсеткіш барлық әлеуетті сыртқы басқарушылар бойынша қарастырылатын өлшемшарттардағы ең жақсы көрсеткішке қатысты нормалануға тиіс.</w:t>
      </w:r>
    </w:p>
    <w:p>
      <w:pPr>
        <w:spacing w:after="0"/>
        <w:ind w:left="0"/>
        <w:jc w:val="both"/>
      </w:pPr>
      <w:r>
        <w:rPr>
          <w:rFonts w:ascii="Times New Roman"/>
          <w:b w:val="false"/>
          <w:i w:val="false"/>
          <w:color w:val="000000"/>
          <w:sz w:val="28"/>
        </w:rPr>
        <w:t>
      Бұл ретте әлеуетті сыртқы басқарушының нормаланған көрсеткіші – бұл сыртқы басқарушы көрсеткішінің қаралатын өлшемшарт бойынша көрсеткіштің ең жоғары мәніне қатынасы.</w:t>
      </w:r>
    </w:p>
    <w:p>
      <w:pPr>
        <w:spacing w:after="0"/>
        <w:ind w:left="0"/>
        <w:jc w:val="both"/>
      </w:pPr>
      <w:r>
        <w:rPr>
          <w:rFonts w:ascii="Times New Roman"/>
          <w:b w:val="false"/>
          <w:i w:val="false"/>
          <w:color w:val="000000"/>
          <w:sz w:val="28"/>
        </w:rPr>
        <w:t>
      3. Егер сыртқы басқарушы басқа мандат шеңберінде жарияланған мандат бойынша активтерді басқарса, онда басқа мандат шеңберінде осы активтерді басқарудың тарихи нәтижелерін бағалау жүзеге асырылады.</w:t>
      </w:r>
    </w:p>
    <w:p>
      <w:pPr>
        <w:spacing w:after="0"/>
        <w:ind w:left="0"/>
        <w:jc w:val="both"/>
      </w:pPr>
      <w:r>
        <w:rPr>
          <w:rFonts w:ascii="Times New Roman"/>
          <w:b w:val="false"/>
          <w:i w:val="false"/>
          <w:color w:val="000000"/>
          <w:sz w:val="28"/>
        </w:rPr>
        <w:t>
      4. Ұлттық Банкінің қызметкерлерін оқытуды бағалау кезінде көрсеткіштердің мынадай жүйесі пайдаланылады: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6"/>
        <w:gridCol w:w="5004"/>
      </w:tblGrid>
      <w:tr>
        <w:trPr>
          <w:trHeight w:val="30" w:hRule="atLeast"/>
        </w:trPr>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(қызметкерлерді оқыту талаптары)</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берілетін балл</w:t>
            </w:r>
          </w:p>
        </w:tc>
      </w:tr>
      <w:tr>
        <w:trPr>
          <w:trHeight w:val="30" w:hRule="atLeast"/>
        </w:trPr>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басқарушы ұшу, тұру, тамақтану ақысын төлейді</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басқарушы тұру, тамақтану ақысын төлейді</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7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басқарушы тамақтану ақысын төлейді</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