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c99e" w14:textId="7ebc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2020 жылғы 15 маусымдағы № 78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144 қаулысы. Қазақстан Республикасының Әділет министрлігінде 2020 жылғы 25 желтоқсанда № 21916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2020 жылғы 15 маусымдағы № 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20909 болып тіркелген, 2020 жылғы 30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 Уәкілетті бөлімше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және операциялық дью-дилидженс шеңберінде қысқа тізімдегі Әлеуетті сыртқы басқарушылардың ұсыныстарын салыстырмалы талдауды жүзеге асыру үшін бағалау өлшемшарттарына сәйкес қысқа тізімдегі әлеуетті сыртқы басқарушылардың ұсыныстарына қосымша бағалау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2. Монетарлық операциялар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144 қаулысымен</w:t>
            </w:r>
            <w:r>
              <w:br/>
            </w: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2020 жылғы "__" _______ </w:t>
            </w:r>
            <w:r>
              <w:br/>
            </w:r>
            <w:r>
              <w:rPr>
                <w:rFonts w:ascii="Times New Roman"/>
                <w:b w:val="false"/>
                <w:i w:val="false"/>
                <w:color w:val="000000"/>
                <w:sz w:val="20"/>
              </w:rPr>
              <w:t xml:space="preserve">№ 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басқаратын шетелдік </w:t>
            </w:r>
            <w:r>
              <w:br/>
            </w:r>
            <w:r>
              <w:rPr>
                <w:rFonts w:ascii="Times New Roman"/>
                <w:b w:val="false"/>
                <w:i w:val="false"/>
                <w:color w:val="000000"/>
                <w:sz w:val="20"/>
              </w:rPr>
              <w:t xml:space="preserve">ұйымдарға қойылатын </w:t>
            </w:r>
            <w:r>
              <w:br/>
            </w:r>
            <w:r>
              <w:rPr>
                <w:rFonts w:ascii="Times New Roman"/>
                <w:b w:val="false"/>
                <w:i w:val="false"/>
                <w:color w:val="000000"/>
                <w:sz w:val="20"/>
              </w:rPr>
              <w:t xml:space="preserve">талаптарды қоса алғанда, </w:t>
            </w:r>
            <w:r>
              <w:br/>
            </w: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басқару үшін қажетті </w:t>
            </w:r>
            <w:r>
              <w:br/>
            </w:r>
            <w:r>
              <w:rPr>
                <w:rFonts w:ascii="Times New Roman"/>
                <w:b w:val="false"/>
                <w:i w:val="false"/>
                <w:color w:val="000000"/>
                <w:sz w:val="20"/>
              </w:rPr>
              <w:t xml:space="preserve">іс-қимылдар жасау өздеріне </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Әлеуетті сыртқы басқарушылардың ұсыныстарын салыстырмалы талдауды жүзеге асыру үшін бағалау өлшемшарттары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58"/>
        <w:gridCol w:w="741"/>
        <w:gridCol w:w="742"/>
        <w:gridCol w:w="742"/>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балл (көрсеткіштің мәні пайызбен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мандат</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(үш) – 5 (бес) жылдағы орташа арифметикалық көрсеткіші (егер кезеңдегі ақпараттық коэффициенттің көрсеткіші 5 (бес) жылдан кем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Активтер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ұйым капиталының құрылымына қатысуы (employee owned)</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активтердің орташа жылдық өзгеруі (пайызбен) (соңғы 3 (үш) – 5 (бес) жыл аралығындағы немесе басқарудың басынан бастап әкетілулер мен әкелінулер)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институционалдық инвесторлардың активтері көлемінің үлесі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 мен талдаушылардың орташа жұмыс тәжірибесі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компания бойынша инвестициялық блок қызметкерлерінің (портфельдік менеджерлер, талдаушылар, трейдерлер) арасында қызметкерлердің қозғалысы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іс-әрекетінен немесе әрекетсіздігінен клиенттердің мүдделерін сақтандыру түрінің болуы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Басқарғаны үшін комиссиялық сыйақы деңгейі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комиссиялық сыйақының деңгейі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басқаруды бастаған күнінен бастап (net new high basis since inception)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талапты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жыл ішінде сыртқы басқару нәтижелері бойынша комиссиялық сыйақыны бөліп төлеу талаптарын белгілеуді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қызметкерлерін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 2 (екі) апта қысқа мерзімді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айдан бастап тағылымдамадан және (немесе) секондменттен өту мүмкіндігін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қаржылық қызметті жүзеге асыру мақсатында "Астана" халықаралық қаржы орталығының қолданыстағы құқығына сәйкес "Астана" халықаралық қаржы орталығының аумағында заңды тұлға құру немесе "Астана" халықаралық қаржы орталығының қатысушысы ретінде аккредиттеу туралы міндеттеме-хатты ұсыну не "Астана" халықаралық қаржы орталығының қатысушысы ретінде әлеуетті сыртқы басқарушының қаржылық қызметті жүзеге асыруы туралы растау-хатты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bookmarkStart w:name="z17" w:id="12"/>
    <w:p>
      <w:pPr>
        <w:spacing w:after="0"/>
        <w:ind w:left="0"/>
        <w:jc w:val="both"/>
      </w:pPr>
      <w:r>
        <w:rPr>
          <w:rFonts w:ascii="Times New Roman"/>
          <w:b w:val="false"/>
          <w:i w:val="false"/>
          <w:color w:val="000000"/>
          <w:sz w:val="28"/>
        </w:rPr>
        <w:t>
      Ескертпе:</w:t>
      </w:r>
    </w:p>
    <w:bookmarkEnd w:id="12"/>
    <w:bookmarkStart w:name="z18" w:id="13"/>
    <w:p>
      <w:pPr>
        <w:spacing w:after="0"/>
        <w:ind w:left="0"/>
        <w:jc w:val="both"/>
      </w:pPr>
      <w:r>
        <w:rPr>
          <w:rFonts w:ascii="Times New Roman"/>
          <w:b w:val="false"/>
          <w:i w:val="false"/>
          <w:color w:val="000000"/>
          <w:sz w:val="28"/>
        </w:rPr>
        <w:t>
      1. Әлеуетті сыртқы басқарушының ұсынысын бағалау олардың маңыздылығына сәйкес барлық бағалау өлшемшарттары бойынша балдардың сомасы болып табылады.</w:t>
      </w:r>
    </w:p>
    <w:bookmarkEnd w:id="13"/>
    <w:bookmarkStart w:name="z19" w:id="14"/>
    <w:p>
      <w:pPr>
        <w:spacing w:after="0"/>
        <w:ind w:left="0"/>
        <w:jc w:val="both"/>
      </w:pPr>
      <w:r>
        <w:rPr>
          <w:rFonts w:ascii="Times New Roman"/>
          <w:b w:val="false"/>
          <w:i w:val="false"/>
          <w:color w:val="000000"/>
          <w:sz w:val="28"/>
        </w:rPr>
        <w:t>
      2. Балдарды есептеу үшін әрбір көрсеткіш барлық әлеуетті сыртқы басқарушылар бойынша қарастырылатын өлшемшарттардағы ең жақсы көрсеткішке қатысты нормалануға тиіс.</w:t>
      </w:r>
    </w:p>
    <w:bookmarkEnd w:id="14"/>
    <w:p>
      <w:pPr>
        <w:spacing w:after="0"/>
        <w:ind w:left="0"/>
        <w:jc w:val="both"/>
      </w:pPr>
      <w:r>
        <w:rPr>
          <w:rFonts w:ascii="Times New Roman"/>
          <w:b w:val="false"/>
          <w:i w:val="false"/>
          <w:color w:val="000000"/>
          <w:sz w:val="28"/>
        </w:rPr>
        <w:t>
      Бұл ретте әлеуетті сыртқы басқарушының нормаланған көрсеткіші – бұл сыртқы басқарушы көрсеткішінің қаралатын өлшемшарт бойынша көрсеткіштің ең жоғары мәніне қатынасы.</w:t>
      </w:r>
    </w:p>
    <w:bookmarkStart w:name="z20" w:id="15"/>
    <w:p>
      <w:pPr>
        <w:spacing w:after="0"/>
        <w:ind w:left="0"/>
        <w:jc w:val="both"/>
      </w:pPr>
      <w:r>
        <w:rPr>
          <w:rFonts w:ascii="Times New Roman"/>
          <w:b w:val="false"/>
          <w:i w:val="false"/>
          <w:color w:val="000000"/>
          <w:sz w:val="28"/>
        </w:rPr>
        <w:t>
      3. Егер сыртқы басқарушы басқа мандат шеңберінде жарияланған мандат бойынша активтерді басқарса, онда басқа мандат шеңберінде осы активтерді басқарудың тарихи нәтижелерін бағалау жүзеге асырылады.</w:t>
      </w:r>
    </w:p>
    <w:bookmarkEnd w:id="15"/>
    <w:bookmarkStart w:name="z21" w:id="16"/>
    <w:p>
      <w:pPr>
        <w:spacing w:after="0"/>
        <w:ind w:left="0"/>
        <w:jc w:val="both"/>
      </w:pPr>
      <w:r>
        <w:rPr>
          <w:rFonts w:ascii="Times New Roman"/>
          <w:b w:val="false"/>
          <w:i w:val="false"/>
          <w:color w:val="000000"/>
          <w:sz w:val="28"/>
        </w:rPr>
        <w:t>
      4. Ұлттық Банкінің қызметкерлерін оқытуды бағалау кезінде көрсеткіштердің мынадай жүйесі пайдаланылады: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(қызметкерлерді оқыту талаптары)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