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8df6" w14:textId="4228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жетістіктердің, өнеркәсіптік меншік объектілерінің, тауар таңбалары және тауар шығарылған жерлердің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30 қарашадағы № 677 бұйрығы. Қазақстан Республикасының Әділет министрлігінде 2020 жылғы 2 желтоқсанда № 21707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"Селекциялық жетістіктердің, өнеркәсіптік меншік объектілерінің, тауар таңбалары және тауар шығарылған жерлердің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17459 болып тіркеліп, 2018 жылғы 10 қазанда нормативтік құқықтық актілердің эталондық бақылау банкінде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Өнеркәсіптік меншік объектілеріне арналған өтінімдерге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өндіру үшін жаңартылатын энергия көздерін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қолданып, ойлап табылған сондай-ақ бастапқы энергия ресурстарының антропогендік көздері: биомасса, биогаз және органикалық қалдықтардан алынатын өзге де отынды қамтитын өнертабыстар, ақпараттық-коммуникациялық технологиялар саласындағы технологияларды қамтитын өнертабыстар, пайда болу және таралу қаупі төнген кезде шектеу шаралары, оның ішінде карантин енгізілетін инфекциялық ауруларды, сондай-ақ онкологиялық ауруларды диагностикалау, алдын алу және емдеу саласындағы өнертабыстар танылады.".</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08.12.2020 </w:t>
      </w:r>
      <w:r>
        <w:rPr>
          <w:rFonts w:ascii="Times New Roman"/>
          <w:b w:val="false"/>
          <w:i w:val="false"/>
          <w:color w:val="000000"/>
          <w:sz w:val="28"/>
        </w:rPr>
        <w:t>№ 732</w:t>
      </w:r>
      <w:r>
        <w:rPr>
          <w:rFonts w:ascii="Times New Roman"/>
          <w:b w:val="false"/>
          <w:i w:val="false"/>
          <w:color w:val="ff0000"/>
          <w:sz w:val="28"/>
        </w:rPr>
        <w:t xml:space="preserve">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