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19cc" w14:textId="1be1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4 қарашадағы № ҚР ДСМ-181/2020 бұйрығы. Қазақстан Республикасының Әділет министрлігінде 2020 жылғы 5 қарашада № 21596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236-бабының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4 қарашасы</w:t>
            </w:r>
            <w:r>
              <w:br/>
            </w:r>
            <w:r>
              <w:rPr>
                <w:rFonts w:ascii="Times New Roman"/>
                <w:b w:val="false"/>
                <w:i w:val="false"/>
                <w:color w:val="000000"/>
                <w:sz w:val="20"/>
              </w:rPr>
              <w:t xml:space="preserve">№ ҚР ДСМ-181/2020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236-бабының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терминдер мен ұғымдар:</w:t>
      </w:r>
    </w:p>
    <w:bookmarkEnd w:id="11"/>
    <w:bookmarkStart w:name="z14" w:id="12"/>
    <w:p>
      <w:pPr>
        <w:spacing w:after="0"/>
        <w:ind w:left="0"/>
        <w:jc w:val="both"/>
      </w:pPr>
      <w:r>
        <w:rPr>
          <w:rFonts w:ascii="Times New Roman"/>
          <w:b w:val="false"/>
          <w:i w:val="false"/>
          <w:color w:val="000000"/>
          <w:sz w:val="28"/>
        </w:rPr>
        <w:t xml:space="preserve">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 </w:t>
      </w:r>
    </w:p>
    <w:bookmarkEnd w:id="12"/>
    <w:bookmarkStart w:name="z15" w:id="13"/>
    <w:p>
      <w:pPr>
        <w:spacing w:after="0"/>
        <w:ind w:left="0"/>
        <w:jc w:val="both"/>
      </w:pPr>
      <w:r>
        <w:rPr>
          <w:rFonts w:ascii="Times New Roman"/>
          <w:b w:val="false"/>
          <w:i w:val="false"/>
          <w:color w:val="000000"/>
          <w:sz w:val="28"/>
        </w:rPr>
        <w:t>
      2)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3"/>
    <w:bookmarkStart w:name="z16" w:id="14"/>
    <w:p>
      <w:pPr>
        <w:spacing w:after="0"/>
        <w:ind w:left="0"/>
        <w:jc w:val="both"/>
      </w:pPr>
      <w:r>
        <w:rPr>
          <w:rFonts w:ascii="Times New Roman"/>
          <w:b w:val="false"/>
          <w:i w:val="false"/>
          <w:color w:val="000000"/>
          <w:sz w:val="28"/>
        </w:rPr>
        <w:t>
      3) тиісті фармацевтикалық практикалар жөніндегі фармацевтикалық инспекторат (бұдан әрі –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14"/>
    <w:bookmarkStart w:name="z17" w:id="15"/>
    <w:p>
      <w:pPr>
        <w:spacing w:after="0"/>
        <w:ind w:left="0"/>
        <w:jc w:val="both"/>
      </w:pPr>
      <w:r>
        <w:rPr>
          <w:rFonts w:ascii="Times New Roman"/>
          <w:b w:val="false"/>
          <w:i w:val="false"/>
          <w:color w:val="000000"/>
          <w:sz w:val="28"/>
        </w:rPr>
        <w:t>
      4)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15"/>
    <w:bookmarkStart w:name="z18" w:id="16"/>
    <w:p>
      <w:pPr>
        <w:spacing w:after="0"/>
        <w:ind w:left="0"/>
        <w:jc w:val="both"/>
      </w:pPr>
      <w:r>
        <w:rPr>
          <w:rFonts w:ascii="Times New Roman"/>
          <w:b w:val="false"/>
          <w:i w:val="false"/>
          <w:color w:val="000000"/>
          <w:sz w:val="28"/>
        </w:rPr>
        <w:t xml:space="preserve">
      3.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бағалаудың фармацевтикалық инспекциясын фармацевтикалық инспекторат Кодекстің 244-бабының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айқындайтын тәртіппен жүзеге асырады.</w:t>
      </w:r>
    </w:p>
    <w:bookmarkEnd w:id="16"/>
    <w:bookmarkStart w:name="z19" w:id="17"/>
    <w:p>
      <w:pPr>
        <w:spacing w:after="0"/>
        <w:ind w:left="0"/>
        <w:jc w:val="both"/>
      </w:pPr>
      <w:r>
        <w:rPr>
          <w:rFonts w:ascii="Times New Roman"/>
          <w:b w:val="false"/>
          <w:i w:val="false"/>
          <w:color w:val="000000"/>
          <w:sz w:val="28"/>
        </w:rPr>
        <w:t>
      4. Бағалау дәрілік заттар мен медициналық бұйымдарды клиникаға дейінгі (клиникалық емес) зерттеулерді жүзеге асыратын сынақ зертханаларында (бұдан әрі – сынақ зертханалары) жүргізіледі.</w:t>
      </w:r>
    </w:p>
    <w:bookmarkEnd w:id="17"/>
    <w:bookmarkStart w:name="z20" w:id="18"/>
    <w:p>
      <w:pPr>
        <w:spacing w:after="0"/>
        <w:ind w:left="0"/>
        <w:jc w:val="both"/>
      </w:pPr>
      <w:r>
        <w:rPr>
          <w:rFonts w:ascii="Times New Roman"/>
          <w:b w:val="false"/>
          <w:i w:val="false"/>
          <w:color w:val="000000"/>
          <w:sz w:val="28"/>
        </w:rPr>
        <w:t>
      5. Бағалауды жүзеге асыру үшін дәрілік заттар мен медициналық бұйымдарды клиникаға дейінгі (клиникалық емес) зерттеулер саласында және дәрілік заттар мен медициналық бұйымдардың айналысы саласындағы заңнама бойынша, бағалауға қажетті білімі бар фармацевтикалық инспекторлар (бұдан әрі – инспекторлар) жүргізеді.</w:t>
      </w:r>
    </w:p>
    <w:bookmarkEnd w:id="18"/>
    <w:p>
      <w:pPr>
        <w:spacing w:after="0"/>
        <w:ind w:left="0"/>
        <w:jc w:val="both"/>
      </w:pPr>
      <w:r>
        <w:rPr>
          <w:rFonts w:ascii="Times New Roman"/>
          <w:b w:val="false"/>
          <w:i w:val="false"/>
          <w:color w:val="000000"/>
          <w:sz w:val="28"/>
        </w:rPr>
        <w:t>
      Бағалау жүргізуге тартылған тұлғалар бағалауды дайындау және жүргізу процесінде алынатын мәліметтердің құпиялылығын сақтайды, сондай-ақ бағалау нәтижелерінің құпиялылығын сақтайды.</w:t>
      </w:r>
    </w:p>
    <w:bookmarkStart w:name="z21" w:id="19"/>
    <w:p>
      <w:pPr>
        <w:spacing w:after="0"/>
        <w:ind w:left="0"/>
        <w:jc w:val="left"/>
      </w:pPr>
      <w:r>
        <w:rPr>
          <w:rFonts w:ascii="Times New Roman"/>
          <w:b/>
          <w:i w:val="false"/>
          <w:color w:val="000000"/>
        </w:rPr>
        <w:t xml:space="preserve"> 2-тарау.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тәртібі</w:t>
      </w:r>
    </w:p>
    <w:bookmarkEnd w:id="19"/>
    <w:bookmarkStart w:name="z22" w:id="20"/>
    <w:p>
      <w:pPr>
        <w:spacing w:after="0"/>
        <w:ind w:left="0"/>
        <w:jc w:val="both"/>
      </w:pPr>
      <w:r>
        <w:rPr>
          <w:rFonts w:ascii="Times New Roman"/>
          <w:b w:val="false"/>
          <w:i w:val="false"/>
          <w:color w:val="000000"/>
          <w:sz w:val="28"/>
        </w:rPr>
        <w:t>
      6. Бағалау жүргізу үшін сынақ зертханасы инспекторға қажетті құжаттаманы ұсынады және дәрілік заттар мен медициналық бұйымдардың клиникаға дейінгі (клиникалық емес) зерттеулерін жүргізу кезінде пайдаланылатын үй-жайларға, жабдықтарға, заттарға, материалдар мен тест-жүйелерге қолжетімділікті, сондай-ақ жұмыс орындарында негізгі персоналдың болуын қамтамасыз етеді.</w:t>
      </w:r>
    </w:p>
    <w:bookmarkEnd w:id="20"/>
    <w:bookmarkStart w:name="z23" w:id="21"/>
    <w:p>
      <w:pPr>
        <w:spacing w:after="0"/>
        <w:ind w:left="0"/>
        <w:jc w:val="both"/>
      </w:pPr>
      <w:r>
        <w:rPr>
          <w:rFonts w:ascii="Times New Roman"/>
          <w:b w:val="false"/>
          <w:i w:val="false"/>
          <w:color w:val="000000"/>
          <w:sz w:val="28"/>
        </w:rPr>
        <w:t>
      7. Клиникаға дейінгі (клиникалық емес) зерттеулер материалдарына бағалау жүргізу кезінде, сондай-ақ клиникаға дейінгі (клиникалық емес) зерттеулер жүргізу шарттарының тиісті зертханалық практика талаптарына сәйкестігін бағалау кезіндеі инспектор:</w:t>
      </w:r>
    </w:p>
    <w:bookmarkEnd w:id="21"/>
    <w:p>
      <w:pPr>
        <w:spacing w:after="0"/>
        <w:ind w:left="0"/>
        <w:jc w:val="both"/>
      </w:pPr>
      <w:r>
        <w:rPr>
          <w:rFonts w:ascii="Times New Roman"/>
          <w:b w:val="false"/>
          <w:i w:val="false"/>
          <w:color w:val="000000"/>
          <w:sz w:val="28"/>
        </w:rPr>
        <w:t>
      сынақ зертханасында басқару мен жауапкершілікті бөлудің ұйымдастыру құрылымын, қызметкерлердің лауазымдық нұсқаулықтарын, сынақ зертханасы персоналының біліктілігі мен оқуы туралы мәліметтерді, сондай-ақ персоналдың денсаулық жағдайын бақылауға қатысты саясатты және ұйым қызметінің кестесін зерделейді;</w:t>
      </w:r>
    </w:p>
    <w:p>
      <w:pPr>
        <w:spacing w:after="0"/>
        <w:ind w:left="0"/>
        <w:jc w:val="both"/>
      </w:pPr>
      <w:r>
        <w:rPr>
          <w:rFonts w:ascii="Times New Roman"/>
          <w:b w:val="false"/>
          <w:i w:val="false"/>
          <w:color w:val="000000"/>
          <w:sz w:val="28"/>
        </w:rPr>
        <w:t>
      сынақ зертханасының сапасы жөніндегі нұсқаулықты, сапаны қамтамасыз ету бөлімінің қызметін, стандартты операциялық рәсімдер бағдарламасын, ішкі оқытуды ұйымдастыруды және ішкі инспекциялар мен аудиттер жүйесін зерделейді;</w:t>
      </w:r>
    </w:p>
    <w:p>
      <w:pPr>
        <w:spacing w:after="0"/>
        <w:ind w:left="0"/>
        <w:jc w:val="both"/>
      </w:pPr>
      <w:r>
        <w:rPr>
          <w:rFonts w:ascii="Times New Roman"/>
          <w:b w:val="false"/>
          <w:i w:val="false"/>
          <w:color w:val="000000"/>
          <w:sz w:val="28"/>
        </w:rPr>
        <w:t>
      тест-жүйелерді ұстауға арналған үй-жайларды, персоналға арналған үй-жайларды, қосалқы материалдарға арналған үй-жайларды тексеруді жүзеге асырады, сондай-ақ қоршаған орта жағдайларын бақылау және ағындар туралы мәліметтерді зерделейді;</w:t>
      </w:r>
    </w:p>
    <w:p>
      <w:pPr>
        <w:spacing w:after="0"/>
        <w:ind w:left="0"/>
        <w:jc w:val="both"/>
      </w:pPr>
      <w:r>
        <w:rPr>
          <w:rFonts w:ascii="Times New Roman"/>
          <w:b w:val="false"/>
          <w:i w:val="false"/>
          <w:color w:val="000000"/>
          <w:sz w:val="28"/>
        </w:rPr>
        <w:t>
      сынақ зертханасының жабдықтары мен өлшеу құралдарын тексеруді жүзеге асырады, оларды тексеру және калибрлеу, пайдалану және техникалық қызмет көрсету туралы мәліметтерді зерделейді, олардың тиісінше жұмыс істеуін тексереді;</w:t>
      </w:r>
    </w:p>
    <w:p>
      <w:pPr>
        <w:spacing w:after="0"/>
        <w:ind w:left="0"/>
        <w:jc w:val="both"/>
      </w:pPr>
      <w:r>
        <w:rPr>
          <w:rFonts w:ascii="Times New Roman"/>
          <w:b w:val="false"/>
          <w:i w:val="false"/>
          <w:color w:val="000000"/>
          <w:sz w:val="28"/>
        </w:rPr>
        <w:t>
      компьютерлендірілген жүйелерді қоса алғанда, өлшеу жабдығы мен аспаптарының валидациясы туралы мәліметтерді тексереді;</w:t>
      </w:r>
    </w:p>
    <w:p>
      <w:pPr>
        <w:spacing w:after="0"/>
        <w:ind w:left="0"/>
        <w:jc w:val="both"/>
      </w:pPr>
      <w:r>
        <w:rPr>
          <w:rFonts w:ascii="Times New Roman"/>
          <w:b w:val="false"/>
          <w:i w:val="false"/>
          <w:color w:val="000000"/>
          <w:sz w:val="28"/>
        </w:rPr>
        <w:t>
      (жануарлардың дене салмағын тіркеу, тамақ (су) қабылдау, препараттарды дозалау және енгізу, клиникалық бақылаулар мен патоморфология жөніндегі рәсімдерді қоса алғанда, сынақ зертханасына келген сәттен бастап аутопсия жүргізуге дейін) зерттеулер жүргізу кезінде пайдаланылатын тест-жүйелердің түрлері туралы мәліметтер алуды, сондай-ақ олардың өмірлік циклі кезеңінде тест-жүйелердің ұсталу жағдайлары мен айналысын бақылау рәсімдерін көздейтін тест-жүйелер туралы деректерді зерделейді;</w:t>
      </w:r>
    </w:p>
    <w:p>
      <w:pPr>
        <w:spacing w:after="0"/>
        <w:ind w:left="0"/>
        <w:jc w:val="both"/>
      </w:pPr>
      <w:r>
        <w:rPr>
          <w:rFonts w:ascii="Times New Roman"/>
          <w:b w:val="false"/>
          <w:i w:val="false"/>
          <w:color w:val="000000"/>
          <w:sz w:val="28"/>
        </w:rPr>
        <w:t>
      сыналатын және бақылау заттары сапасының кепілдігін қамтамасыз етуге арналған рәсімдерді тексереді, сондай-ақ олардың жұмсалуын және кәдеге жаратылуын есепке алу жүйелерін зерделейді;</w:t>
      </w:r>
    </w:p>
    <w:p>
      <w:pPr>
        <w:spacing w:after="0"/>
        <w:ind w:left="0"/>
        <w:jc w:val="both"/>
      </w:pPr>
      <w:r>
        <w:rPr>
          <w:rFonts w:ascii="Times New Roman"/>
          <w:b w:val="false"/>
          <w:i w:val="false"/>
          <w:color w:val="000000"/>
          <w:sz w:val="28"/>
        </w:rPr>
        <w:t>
      стандартты операциялық рәсімдерді (бұдан әрі – СОР), оның ішінде СОР жүйесі туралы мәліметтерді, оларды бекіту және қайта қарау, оқыту және бақыланатын қолжетімділік жөніндегі рәсімдерді зерделейді;</w:t>
      </w:r>
    </w:p>
    <w:p>
      <w:pPr>
        <w:spacing w:after="0"/>
        <w:ind w:left="0"/>
        <w:jc w:val="both"/>
      </w:pPr>
      <w:r>
        <w:rPr>
          <w:rFonts w:ascii="Times New Roman"/>
          <w:b w:val="false"/>
          <w:i w:val="false"/>
          <w:color w:val="000000"/>
          <w:sz w:val="28"/>
        </w:rPr>
        <w:t>
      зерттеудің ажырамас бөлігі болып табылатын ағымдағы және аяқталған зерттеулер мен құжаттардың тізбесін (зерттеу жоспары, есепке алу журналдары, зертханалық журналдар, құжаттар, жұмыс кестелері, компьютерде сақталған деректердің басылымдары, салыстырып тексеру есептері, қорытынды есеп) зерделейді, сондай-ақ деректерді тіркеу, верификациялау және талдау жүйесін тексереді;</w:t>
      </w:r>
    </w:p>
    <w:p>
      <w:pPr>
        <w:spacing w:after="0"/>
        <w:ind w:left="0"/>
        <w:jc w:val="both"/>
      </w:pPr>
      <w:r>
        <w:rPr>
          <w:rFonts w:ascii="Times New Roman"/>
          <w:b w:val="false"/>
          <w:i w:val="false"/>
          <w:color w:val="000000"/>
          <w:sz w:val="28"/>
        </w:rPr>
        <w:t>
      зерттеу материалдары мен құжаттарын, сыналатын үлгілерді, стандартты заттарды, еріткіштер мен реактивтерді тиісінше сақтау жөніндегі рәсімдерді зерделейді және тексереді.</w:t>
      </w:r>
    </w:p>
    <w:bookmarkStart w:name="z24" w:id="22"/>
    <w:p>
      <w:pPr>
        <w:spacing w:after="0"/>
        <w:ind w:left="0"/>
        <w:jc w:val="both"/>
      </w:pPr>
      <w:r>
        <w:rPr>
          <w:rFonts w:ascii="Times New Roman"/>
          <w:b w:val="false"/>
          <w:i w:val="false"/>
          <w:color w:val="000000"/>
          <w:sz w:val="28"/>
        </w:rPr>
        <w:t xml:space="preserve">
      8. Бағалау нәтижелері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материалдарды бағалау және клиникаға дейінгі (клиникалық емес) зерттеулерді жүргізу шарттарының тиісті зертханалық практика (GLP) талаптарына сәйкестігі туралы есеп (бұдан әрі – Есеп) қалыптастырылады.</w:t>
      </w:r>
    </w:p>
    <w:bookmarkEnd w:id="22"/>
    <w:bookmarkStart w:name="z25" w:id="23"/>
    <w:p>
      <w:pPr>
        <w:spacing w:after="0"/>
        <w:ind w:left="0"/>
        <w:jc w:val="both"/>
      </w:pPr>
      <w:r>
        <w:rPr>
          <w:rFonts w:ascii="Times New Roman"/>
          <w:b w:val="false"/>
          <w:i w:val="false"/>
          <w:color w:val="000000"/>
          <w:sz w:val="28"/>
        </w:rPr>
        <w:t>
      9. Есепті дәрілік заттар мен медициналық бұйымдардың айналысы саласындағы мемлекеттік органның басшысы бекітеді және бекітілген күннен бастап күнтізбелік бес күн ішінде сынақ зертханасына жібереді.</w:t>
      </w:r>
    </w:p>
    <w:bookmarkEnd w:id="23"/>
    <w:bookmarkStart w:name="z26" w:id="24"/>
    <w:p>
      <w:pPr>
        <w:spacing w:after="0"/>
        <w:ind w:left="0"/>
        <w:jc w:val="both"/>
      </w:pPr>
      <w:r>
        <w:rPr>
          <w:rFonts w:ascii="Times New Roman"/>
          <w:b w:val="false"/>
          <w:i w:val="false"/>
          <w:color w:val="000000"/>
          <w:sz w:val="28"/>
        </w:rPr>
        <w:t>
      10. Есепте көрсетілген сәйкессіздіктерді сынақ зертханасы бағалау аяқталған күннен бастап 3 айдан аспайтын мерзімде жояды.</w:t>
      </w:r>
    </w:p>
    <w:bookmarkEnd w:id="24"/>
    <w:bookmarkStart w:name="z27" w:id="25"/>
    <w:p>
      <w:pPr>
        <w:spacing w:after="0"/>
        <w:ind w:left="0"/>
        <w:jc w:val="both"/>
      </w:pPr>
      <w:r>
        <w:rPr>
          <w:rFonts w:ascii="Times New Roman"/>
          <w:b w:val="false"/>
          <w:i w:val="false"/>
          <w:color w:val="000000"/>
          <w:sz w:val="28"/>
        </w:rPr>
        <w:t>
      11. Есеп берілген күннен бастап 3 жыл бойы жарамды болады.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зерттеулердің</w:t>
            </w:r>
            <w:r>
              <w:br/>
            </w:r>
            <w:r>
              <w:rPr>
                <w:rFonts w:ascii="Times New Roman"/>
                <w:b w:val="false"/>
                <w:i w:val="false"/>
                <w:color w:val="000000"/>
                <w:sz w:val="20"/>
              </w:rPr>
              <w:t>материалдарын және оларды</w:t>
            </w:r>
            <w:r>
              <w:br/>
            </w:r>
            <w:r>
              <w:rPr>
                <w:rFonts w:ascii="Times New Roman"/>
                <w:b w:val="false"/>
                <w:i w:val="false"/>
                <w:color w:val="000000"/>
                <w:sz w:val="20"/>
              </w:rPr>
              <w:t>жүргізу шарттарының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және (немесе) Еуразиялық</w:t>
            </w:r>
            <w:r>
              <w:br/>
            </w:r>
            <w:r>
              <w:rPr>
                <w:rFonts w:ascii="Times New Roman"/>
                <w:b w:val="false"/>
                <w:i w:val="false"/>
                <w:color w:val="000000"/>
                <w:sz w:val="20"/>
              </w:rPr>
              <w:t>экономикалық одақтың тиісті</w:t>
            </w:r>
            <w:r>
              <w:br/>
            </w:r>
            <w:r>
              <w:rPr>
                <w:rFonts w:ascii="Times New Roman"/>
                <w:b w:val="false"/>
                <w:i w:val="false"/>
                <w:color w:val="000000"/>
                <w:sz w:val="20"/>
              </w:rPr>
              <w:t>зертханалық практиканың (GLP)</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 xml:space="preserve">бағалауды фармацевтикалық </w:t>
            </w:r>
            <w:r>
              <w:br/>
            </w:r>
            <w:r>
              <w:rPr>
                <w:rFonts w:ascii="Times New Roman"/>
                <w:b w:val="false"/>
                <w:i w:val="false"/>
                <w:color w:val="000000"/>
                <w:sz w:val="20"/>
              </w:rPr>
              <w:t xml:space="preserve">инспекция шеңберінде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Клиникаға дейінгі (клиникалық емес) зерттеулердің материалдарын және оларды жүргізу шарттарының тиісті зертханалық практиканың (GLP) талаптарына сәйкестігін бағалау туралы есеп</w:t>
      </w:r>
    </w:p>
    <w:bookmarkEnd w:id="26"/>
    <w:bookmarkStart w:name="z30" w:id="27"/>
    <w:p>
      <w:pPr>
        <w:spacing w:after="0"/>
        <w:ind w:left="0"/>
        <w:jc w:val="both"/>
      </w:pPr>
      <w:r>
        <w:rPr>
          <w:rFonts w:ascii="Times New Roman"/>
          <w:b w:val="false"/>
          <w:i w:val="false"/>
          <w:color w:val="000000"/>
          <w:sz w:val="28"/>
        </w:rPr>
        <w:t>
      1. Жалпы ақпарат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4"/>
        <w:gridCol w:w="336"/>
      </w:tblGrid>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толық атауы және мекенжайы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мақсаты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үшін инспекциялық топтың құрамы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жүргізу күні, уақыты және 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көрсете отырып, сынақ зертханасының (орталығының) қысқаша сипаттамасы, сондай-ақ сынақ зертханасының (орталығының) орналасуы және жоғары басшылық туралы ақпарат</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кезінде қатысқан адамдардың Т. А. Ә., (бар болса) және лауазымы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8"/>
    <w:p>
      <w:pPr>
        <w:spacing w:after="0"/>
        <w:ind w:left="0"/>
        <w:jc w:val="both"/>
      </w:pPr>
      <w:r>
        <w:rPr>
          <w:rFonts w:ascii="Times New Roman"/>
          <w:b w:val="false"/>
          <w:i w:val="false"/>
          <w:color w:val="000000"/>
          <w:sz w:val="28"/>
        </w:rPr>
        <w:t>
      2. Бақылау және бағалау нәтижелері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0"/>
        <w:gridCol w:w="620"/>
      </w:tblGrid>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жұмысын ұйымдастырылуы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бағдарламасы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материалдар, реагенттер және үлгілер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химиялық тест жүйелері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тест-жүйелер, оның ішінде оларға қызмет көрсету, орналастыру және күтіп ұстау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(тестілінетін) және стандартты заттар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операциялық процедуралар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зерттеу нәтижелері туралы есеп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сақтау шарттары мен мерзімі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9"/>
    <w:p>
      <w:pPr>
        <w:spacing w:after="0"/>
        <w:ind w:left="0"/>
        <w:jc w:val="both"/>
      </w:pPr>
      <w:r>
        <w:rPr>
          <w:rFonts w:ascii="Times New Roman"/>
          <w:b w:val="false"/>
          <w:i w:val="false"/>
          <w:color w:val="000000"/>
          <w:sz w:val="28"/>
        </w:rPr>
        <w:t>
      3. Анықталған сәйкессіздіктердің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0"/>
    <w:p>
      <w:pPr>
        <w:spacing w:after="0"/>
        <w:ind w:left="0"/>
        <w:jc w:val="both"/>
      </w:pPr>
      <w:r>
        <w:rPr>
          <w:rFonts w:ascii="Times New Roman"/>
          <w:b w:val="false"/>
          <w:i w:val="false"/>
          <w:color w:val="000000"/>
          <w:sz w:val="28"/>
        </w:rPr>
        <w:t>
      4. Бағалау жүргізу барысында жойылған сәйкессіздіктер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275"/>
        <w:gridCol w:w="7983"/>
        <w:gridCol w:w="176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сипаттамасы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біліктілігі</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жою туралы ақпарат (түзету және ескерту әрекеттерінің қысқаша мазмұны, растайтын құжат)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жоюды бағалау</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1"/>
    <w:p>
      <w:pPr>
        <w:spacing w:after="0"/>
        <w:ind w:left="0"/>
        <w:jc w:val="both"/>
      </w:pPr>
      <w:r>
        <w:rPr>
          <w:rFonts w:ascii="Times New Roman"/>
          <w:b w:val="false"/>
          <w:i w:val="false"/>
          <w:color w:val="000000"/>
          <w:sz w:val="28"/>
        </w:rPr>
        <w:t>
      5. Қорытынды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2"/>
    <w:p>
      <w:pPr>
        <w:spacing w:after="0"/>
        <w:ind w:left="0"/>
        <w:jc w:val="both"/>
      </w:pPr>
      <w:r>
        <w:rPr>
          <w:rFonts w:ascii="Times New Roman"/>
          <w:b w:val="false"/>
          <w:i w:val="false"/>
          <w:color w:val="000000"/>
          <w:sz w:val="28"/>
        </w:rPr>
        <w:t>
      * Ескерту</w:t>
      </w:r>
    </w:p>
    <w:bookmarkEnd w:id="32"/>
    <w:p>
      <w:pPr>
        <w:spacing w:after="0"/>
        <w:ind w:left="0"/>
        <w:jc w:val="both"/>
      </w:pPr>
      <w:r>
        <w:rPr>
          <w:rFonts w:ascii="Times New Roman"/>
          <w:b w:val="false"/>
          <w:i w:val="false"/>
          <w:color w:val="000000"/>
          <w:sz w:val="28"/>
        </w:rPr>
        <w:t>
      "Өте маңызды сәйкессіздіктер" – клиникалық емес (клиникаға дейінгі) зертханалық зерттеуден алынған деректердің тұтастығы мен сапасына әсер ететін сынақ зертханасының (орталығының) тиісті зертханалық практика қағидаттарына сәйкес келмеуі;</w:t>
      </w:r>
    </w:p>
    <w:p>
      <w:pPr>
        <w:spacing w:after="0"/>
        <w:ind w:left="0"/>
        <w:jc w:val="both"/>
      </w:pPr>
      <w:r>
        <w:rPr>
          <w:rFonts w:ascii="Times New Roman"/>
          <w:b w:val="false"/>
          <w:i w:val="false"/>
          <w:color w:val="000000"/>
          <w:sz w:val="28"/>
        </w:rPr>
        <w:t xml:space="preserve">
      "Маңызды сәйкессіздіктер" – клиникалық емес (клиникаға дейінгі) зертханалық зерттеуден алынған деректердің тұтастығы мен сапасына әсер етуі мүмкін болатын сынақ зертханасының (орталығының) тиісті зертханалық практика қағидаттарына сәйкес келмеуі; </w:t>
      </w:r>
    </w:p>
    <w:p>
      <w:pPr>
        <w:spacing w:after="0"/>
        <w:ind w:left="0"/>
        <w:jc w:val="both"/>
      </w:pPr>
      <w:r>
        <w:rPr>
          <w:rFonts w:ascii="Times New Roman"/>
          <w:b w:val="false"/>
          <w:i w:val="false"/>
          <w:color w:val="000000"/>
          <w:sz w:val="28"/>
        </w:rPr>
        <w:t>
      "Маңызды емес сәйкессіздіктер" – клиникалық емес (клиникаға дейінгі) зертханалық зерттеуден алынған деректердің тұтастығы мен сапасына әсер етпейтін және жүйелі емес сипатта болатын сынақ зертханасының (орталығының) тиісті зертханалық практика қағидаттарына сәйкес келмеуі.</w:t>
      </w:r>
    </w:p>
    <w:p>
      <w:pPr>
        <w:spacing w:after="0"/>
        <w:ind w:left="0"/>
        <w:jc w:val="both"/>
      </w:pPr>
      <w:r>
        <w:rPr>
          <w:rFonts w:ascii="Times New Roman"/>
          <w:b w:val="false"/>
          <w:i w:val="false"/>
          <w:color w:val="000000"/>
          <w:sz w:val="28"/>
        </w:rPr>
        <w:t xml:space="preserve">
      Инспекциялық топтың басшысы: </w:t>
      </w:r>
    </w:p>
    <w:p>
      <w:pPr>
        <w:spacing w:after="0"/>
        <w:ind w:left="0"/>
        <w:jc w:val="both"/>
      </w:pPr>
      <w:r>
        <w:rPr>
          <w:rFonts w:ascii="Times New Roman"/>
          <w:b w:val="false"/>
          <w:i w:val="false"/>
          <w:color w:val="000000"/>
          <w:sz w:val="28"/>
        </w:rPr>
        <w:t xml:space="preserve">
      _______________ ________________________________________________ </w:t>
      </w:r>
    </w:p>
    <w:p>
      <w:pPr>
        <w:spacing w:after="0"/>
        <w:ind w:left="0"/>
        <w:jc w:val="both"/>
      </w:pPr>
      <w:r>
        <w:rPr>
          <w:rFonts w:ascii="Times New Roman"/>
          <w:b w:val="false"/>
          <w:i w:val="false"/>
          <w:color w:val="000000"/>
          <w:sz w:val="28"/>
        </w:rPr>
        <w:t xml:space="preserve">
                  қолы                         Т. А. Ә. (бар болса) </w:t>
      </w:r>
    </w:p>
    <w:p>
      <w:pPr>
        <w:spacing w:after="0"/>
        <w:ind w:left="0"/>
        <w:jc w:val="both"/>
      </w:pPr>
      <w:r>
        <w:rPr>
          <w:rFonts w:ascii="Times New Roman"/>
          <w:b w:val="false"/>
          <w:i w:val="false"/>
          <w:color w:val="000000"/>
          <w:sz w:val="28"/>
        </w:rPr>
        <w:t xml:space="preserve">
      Инспекциялық топ мүшелері: </w:t>
      </w:r>
    </w:p>
    <w:p>
      <w:pPr>
        <w:spacing w:after="0"/>
        <w:ind w:left="0"/>
        <w:jc w:val="both"/>
      </w:pPr>
      <w:r>
        <w:rPr>
          <w:rFonts w:ascii="Times New Roman"/>
          <w:b w:val="false"/>
          <w:i w:val="false"/>
          <w:color w:val="000000"/>
          <w:sz w:val="28"/>
        </w:rPr>
        <w:t xml:space="preserve">
      _______________ __________________________________________________ </w:t>
      </w:r>
    </w:p>
    <w:p>
      <w:pPr>
        <w:spacing w:after="0"/>
        <w:ind w:left="0"/>
        <w:jc w:val="both"/>
      </w:pPr>
      <w:r>
        <w:rPr>
          <w:rFonts w:ascii="Times New Roman"/>
          <w:b w:val="false"/>
          <w:i w:val="false"/>
          <w:color w:val="000000"/>
          <w:sz w:val="28"/>
        </w:rPr>
        <w:t xml:space="preserve">
                  қолы                         Т. А. Ә .(бар болса) </w:t>
      </w:r>
    </w:p>
    <w:p>
      <w:pPr>
        <w:spacing w:after="0"/>
        <w:ind w:left="0"/>
        <w:jc w:val="both"/>
      </w:pPr>
      <w:r>
        <w:rPr>
          <w:rFonts w:ascii="Times New Roman"/>
          <w:b w:val="false"/>
          <w:i w:val="false"/>
          <w:color w:val="000000"/>
          <w:sz w:val="28"/>
        </w:rPr>
        <w:t xml:space="preserve">
      _______________ __________________________________________________ </w:t>
      </w:r>
    </w:p>
    <w:p>
      <w:pPr>
        <w:spacing w:after="0"/>
        <w:ind w:left="0"/>
        <w:jc w:val="both"/>
      </w:pPr>
      <w:r>
        <w:rPr>
          <w:rFonts w:ascii="Times New Roman"/>
          <w:b w:val="false"/>
          <w:i w:val="false"/>
          <w:color w:val="000000"/>
          <w:sz w:val="28"/>
        </w:rPr>
        <w:t xml:space="preserve">
                  қолы                         Т. А. Ә. (бар болса) </w:t>
      </w:r>
    </w:p>
    <w:p>
      <w:pPr>
        <w:spacing w:after="0"/>
        <w:ind w:left="0"/>
        <w:jc w:val="both"/>
      </w:pPr>
      <w:r>
        <w:rPr>
          <w:rFonts w:ascii="Times New Roman"/>
          <w:b w:val="false"/>
          <w:i w:val="false"/>
          <w:color w:val="000000"/>
          <w:sz w:val="28"/>
        </w:rPr>
        <w:t>
      "______" _______________________20_______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