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a8ec5" w14:textId="b3a8e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"Ветеринария саласындағы қызметті жүзеге асыратын жергілікті атқарушы органдар қызметінің тиімділігін бағалауға арналған ветеринария саласындағы нысаналы индикаторларды есептеу әдістемесін бекіту туралы" Қазақстан Республикасы Ауыл шаруашылығы министрінің 2020 жылғы 11 ақпандағы № 49 бұйрығына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2020 жылғы 28 қазандағы № 329 бұйрығы. Қазақстан Республикасының Әділет министрлігінде 2020 жылғы 30 қазанда № 21569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"Ветеринария саласындағы қызметті жүзеге асыратын жергілікті атқарушы органдар қызметінің тиімділігін бағалауға арналған ветеринария саласындағы нысаналы индикаторларды есептеу әдістемесін бекіту туралы" Қазақстан Республикасы Ауыл шаруашылығы министрінің 2020 жылғы 11 ақпандағы № 49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20031 болып тіркелген, 2020 жылғы 14 ақпанда Қазақстан Республикасы нормативтік құқықтық актілерінің эталондық бақылау банкінде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ветеринария саласындағы қызметті жүзеге асыратын жергілікті атқарушы органдар қызметінің тиімділігін бағалауға арналған ветеринария саласындағы нысаналы индикаторларды есептеу </w:t>
      </w:r>
      <w:r>
        <w:rPr>
          <w:rFonts w:ascii="Times New Roman"/>
          <w:b w:val="false"/>
          <w:i w:val="false"/>
          <w:color w:val="000000"/>
          <w:sz w:val="28"/>
        </w:rPr>
        <w:t>әдістемесінде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"7. Осы Әдістеменің </w:t>
      </w:r>
      <w:r>
        <w:rPr>
          <w:rFonts w:ascii="Times New Roman"/>
          <w:b w:val="false"/>
          <w:i w:val="false"/>
          <w:color w:val="000000"/>
          <w:sz w:val="28"/>
        </w:rPr>
        <w:t>6-тармағында</w:t>
      </w:r>
      <w:r>
        <w:rPr>
          <w:rFonts w:ascii="Times New Roman"/>
          <w:b w:val="false"/>
          <w:i w:val="false"/>
          <w:color w:val="000000"/>
          <w:sz w:val="28"/>
        </w:rPr>
        <w:t xml:space="preserve"> көрсетілген барлық нысаналы индикаторларға қол жеткізу 100 балдық жүйе бойынша бағаланады, оның ішінде: </w:t>
      </w:r>
    </w:p>
    <w:bookmarkEnd w:id="3"/>
    <w:p>
      <w:pPr>
        <w:spacing w:after="0"/>
        <w:ind w:left="0"/>
        <w:jc w:val="both"/>
      </w:pPr>
      <w:r>
        <w:rPr>
          <w:rFonts w:ascii="Times New Roman"/>
          <w:b w:val="false"/>
          <w:i w:val="false"/>
          <w:color w:val="000000"/>
          <w:sz w:val="28"/>
        </w:rPr>
        <w:t xml:space="preserve">
      бірінші нысаналы индикатор бойынша – 28 балл (оның ішінде, жануарлардың аса қауіпті ауруларын диагностикалық зерттеу өлшемшарты бойынша 14 балды, жануарлардың аса қауіпті ауруларына қарсы профилактикалық вакциналау өлшемшарты бойынша 14 балды құрайды); </w:t>
      </w:r>
    </w:p>
    <w:p>
      <w:pPr>
        <w:spacing w:after="0"/>
        <w:ind w:left="0"/>
        <w:jc w:val="both"/>
      </w:pPr>
      <w:r>
        <w:rPr>
          <w:rFonts w:ascii="Times New Roman"/>
          <w:b w:val="false"/>
          <w:i w:val="false"/>
          <w:color w:val="000000"/>
          <w:sz w:val="28"/>
        </w:rPr>
        <w:t xml:space="preserve">
      екінші нысаналы индикатор бойынша – 20 балл; </w:t>
      </w:r>
    </w:p>
    <w:p>
      <w:pPr>
        <w:spacing w:after="0"/>
        <w:ind w:left="0"/>
        <w:jc w:val="both"/>
      </w:pPr>
      <w:r>
        <w:rPr>
          <w:rFonts w:ascii="Times New Roman"/>
          <w:b w:val="false"/>
          <w:i w:val="false"/>
          <w:color w:val="000000"/>
          <w:sz w:val="28"/>
        </w:rPr>
        <w:t>
      үшінші нысаналы индикатор бойынша ̶ 16 балл;</w:t>
      </w:r>
    </w:p>
    <w:p>
      <w:pPr>
        <w:spacing w:after="0"/>
        <w:ind w:left="0"/>
        <w:jc w:val="both"/>
      </w:pPr>
      <w:r>
        <w:rPr>
          <w:rFonts w:ascii="Times New Roman"/>
          <w:b w:val="false"/>
          <w:i w:val="false"/>
          <w:color w:val="000000"/>
          <w:sz w:val="28"/>
        </w:rPr>
        <w:t>
      төртінші нысаналы индикатор бойынша – 18 балл;</w:t>
      </w:r>
    </w:p>
    <w:p>
      <w:pPr>
        <w:spacing w:after="0"/>
        <w:ind w:left="0"/>
        <w:jc w:val="both"/>
      </w:pPr>
      <w:r>
        <w:rPr>
          <w:rFonts w:ascii="Times New Roman"/>
          <w:b w:val="false"/>
          <w:i w:val="false"/>
          <w:color w:val="000000"/>
          <w:sz w:val="28"/>
        </w:rPr>
        <w:t>
      бесінші нысаналы индикатор бойынша – 18 балл.</w:t>
      </w:r>
    </w:p>
    <w:bookmarkStart w:name="z6" w:id="4"/>
    <w:p>
      <w:pPr>
        <w:spacing w:after="0"/>
        <w:ind w:left="0"/>
        <w:jc w:val="both"/>
      </w:pPr>
      <w:r>
        <w:rPr>
          <w:rFonts w:ascii="Times New Roman"/>
          <w:b w:val="false"/>
          <w:i w:val="false"/>
          <w:color w:val="000000"/>
          <w:sz w:val="28"/>
        </w:rPr>
        <w:t xml:space="preserve">
      8. ЖАО белгіленген нысаналы индикаторларға қол жеткізбеген жағдайда, балдар белгіленген нысаналы индикаторға қол жеткізу пайызына қарай есептеледі (мысалы, егер, мемлекеттік ветеринариялық ұйымдардың ветеринария саласындағы мамандармен жасақталуы жөніндегі нысаналы индикатор 80 пайызды (бұдан әрі ̶ %) құраса, онда осы индикатор бойынша балл тиісінше 14,4 балл (18*80%=14,4) болады, мұндағы 18 − осы Әдістеменің </w:t>
      </w:r>
      <w:r>
        <w:rPr>
          <w:rFonts w:ascii="Times New Roman"/>
          <w:b w:val="false"/>
          <w:i w:val="false"/>
          <w:color w:val="000000"/>
          <w:sz w:val="28"/>
        </w:rPr>
        <w:t>7-тармағында</w:t>
      </w:r>
      <w:r>
        <w:rPr>
          <w:rFonts w:ascii="Times New Roman"/>
          <w:b w:val="false"/>
          <w:i w:val="false"/>
          <w:color w:val="000000"/>
          <w:sz w:val="28"/>
        </w:rPr>
        <w:t xml:space="preserve"> белгіленген төртінші нысаналы индикатор үшін ең жоғары балл).".</w:t>
      </w:r>
    </w:p>
    <w:bookmarkEnd w:id="4"/>
    <w:bookmarkStart w:name="z7" w:id="5"/>
    <w:p>
      <w:pPr>
        <w:spacing w:after="0"/>
        <w:ind w:left="0"/>
        <w:jc w:val="both"/>
      </w:pPr>
      <w:r>
        <w:rPr>
          <w:rFonts w:ascii="Times New Roman"/>
          <w:b w:val="false"/>
          <w:i w:val="false"/>
          <w:color w:val="000000"/>
          <w:sz w:val="28"/>
        </w:rPr>
        <w:t>
      2. Қазақстан Республикасы Ауыл шаруашылығы министрлігінің Ветеринариялық, фитосанитариялық және тамақ қауіпсіздігі департаменті Қазақстан Республикасының заңнамасында белгіленген тәртіппен:</w:t>
      </w:r>
    </w:p>
    <w:bookmarkEnd w:id="5"/>
    <w:bookmarkStart w:name="z8" w:id="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6"/>
    <w:bookmarkStart w:name="z9" w:id="7"/>
    <w:p>
      <w:pPr>
        <w:spacing w:after="0"/>
        <w:ind w:left="0"/>
        <w:jc w:val="both"/>
      </w:pPr>
      <w:r>
        <w:rPr>
          <w:rFonts w:ascii="Times New Roman"/>
          <w:b w:val="false"/>
          <w:i w:val="false"/>
          <w:color w:val="000000"/>
          <w:sz w:val="28"/>
        </w:rPr>
        <w:t xml:space="preserve">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 </w:t>
      </w:r>
    </w:p>
    <w:bookmarkEnd w:id="7"/>
    <w:bookmarkStart w:name="z10"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8"/>
    <w:bookmarkStart w:name="z11" w:id="9"/>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Ауыл шаруашылығы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Ұлттық экономика </w:t>
      </w:r>
    </w:p>
    <w:p>
      <w:pPr>
        <w:spacing w:after="0"/>
        <w:ind w:left="0"/>
        <w:jc w:val="both"/>
      </w:pPr>
      <w:r>
        <w:rPr>
          <w:rFonts w:ascii="Times New Roman"/>
          <w:b w:val="false"/>
          <w:i w:val="false"/>
          <w:color w:val="000000"/>
          <w:sz w:val="28"/>
        </w:rPr>
        <w:t>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