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154b" w14:textId="a511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 және олардың айналымы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2020 жылғы 29 қазандағы № 407/НҚ бұйрығы. Қазақстан Республикасының Әділет министрлігінде 2020 жылғы 30 қазанда № 21546 болып тіркелді. Күші жойылды - ҚР Цифрлық даму, инновациялар және аэроғарыш өнеркәсібі министрінің м.а. 30.03.2023 № 117/НҚ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30.03.2023 </w:t>
      </w:r>
      <w:r>
        <w:rPr>
          <w:rFonts w:ascii="Times New Roman"/>
          <w:b w:val="false"/>
          <w:i w:val="false"/>
          <w:color w:val="ff0000"/>
          <w:sz w:val="28"/>
        </w:rPr>
        <w:t>№ 117/НҚ</w:t>
      </w:r>
      <w:r>
        <w:rPr>
          <w:rFonts w:ascii="Times New Roman"/>
          <w:b w:val="false"/>
          <w:i w:val="false"/>
          <w:color w:val="ff0000"/>
          <w:sz w:val="28"/>
        </w:rPr>
        <w:t xml:space="preserve"> (01.04.2023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20-3)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Қамтамасыз етілген цифрлық активтерді шығару және олардың айналымы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2020 жылғы 29 қазаны</w:t>
            </w:r>
            <w:r>
              <w:br/>
            </w:r>
            <w:r>
              <w:rPr>
                <w:rFonts w:ascii="Times New Roman"/>
                <w:b w:val="false"/>
                <w:i w:val="false"/>
                <w:color w:val="000000"/>
                <w:sz w:val="20"/>
              </w:rPr>
              <w:t>№ 407/НҚ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Қамтамасыз етілген цифрлық активтерді шығару және олардың айналымы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Қамтамасыз етілген цифрлық активтерді шығару және олардың айналымы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20-3) тармақшасына сәйкес әзірленді және қамтамасыз етілген цифрлық активтерді шығару және олардың айналымы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1"/>
    <w:bookmarkStart w:name="z14" w:id="12"/>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
    <w:bookmarkStart w:name="z15" w:id="13"/>
    <w:p>
      <w:pPr>
        <w:spacing w:after="0"/>
        <w:ind w:left="0"/>
        <w:jc w:val="both"/>
      </w:pPr>
      <w:r>
        <w:rPr>
          <w:rFonts w:ascii="Times New Roman"/>
          <w:b w:val="false"/>
          <w:i w:val="false"/>
          <w:color w:val="000000"/>
          <w:sz w:val="28"/>
        </w:rPr>
        <w:t xml:space="preserve">
      2)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 </w:t>
      </w:r>
    </w:p>
    <w:bookmarkEnd w:id="13"/>
    <w:bookmarkStart w:name="z16" w:id="14"/>
    <w:p>
      <w:pPr>
        <w:spacing w:after="0"/>
        <w:ind w:left="0"/>
        <w:jc w:val="both"/>
      </w:pPr>
      <w:r>
        <w:rPr>
          <w:rFonts w:ascii="Times New Roman"/>
          <w:b w:val="false"/>
          <w:i w:val="false"/>
          <w:color w:val="000000"/>
          <w:sz w:val="28"/>
        </w:rPr>
        <w:t>
      3) қамтамасыз етілген цифрлық актив – цифрлық токен және қамтамасыз етілген цифрлық актив шығарған тұлға шығаратын (беретін) тауарларға және (немесе) көрсетілетін қызметтерге мүліктік құқықтарды куәландыратын цифрлық құрал болып табылатын өзге де цифрлық активтер жатады;</w:t>
      </w:r>
    </w:p>
    <w:bookmarkEnd w:id="14"/>
    <w:bookmarkStart w:name="z17" w:id="15"/>
    <w:p>
      <w:pPr>
        <w:spacing w:after="0"/>
        <w:ind w:left="0"/>
        <w:jc w:val="both"/>
      </w:pPr>
      <w:r>
        <w:rPr>
          <w:rFonts w:ascii="Times New Roman"/>
          <w:b w:val="false"/>
          <w:i w:val="false"/>
          <w:color w:val="000000"/>
          <w:sz w:val="28"/>
        </w:rPr>
        <w:t>
      4) цифрлық токен – мүліктік құқықтарды есепке алудың, айырбастаудың және куәландырудың цифрлық құралы болып табылатын цифрлық активтің түрі.</w:t>
      </w:r>
    </w:p>
    <w:bookmarkEnd w:id="15"/>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bookmarkStart w:name="z18" w:id="16"/>
    <w:p>
      <w:pPr>
        <w:spacing w:after="0"/>
        <w:ind w:left="0"/>
        <w:jc w:val="left"/>
      </w:pPr>
      <w:r>
        <w:rPr>
          <w:rFonts w:ascii="Times New Roman"/>
          <w:b/>
          <w:i w:val="false"/>
          <w:color w:val="000000"/>
        </w:rPr>
        <w:t xml:space="preserve"> 2-тарау. Қамтамасыз етілген цифрлық активтерді шығару және олардың айналым тәртібі</w:t>
      </w:r>
    </w:p>
    <w:bookmarkEnd w:id="16"/>
    <w:bookmarkStart w:name="z19" w:id="17"/>
    <w:p>
      <w:pPr>
        <w:spacing w:after="0"/>
        <w:ind w:left="0"/>
        <w:jc w:val="both"/>
      </w:pPr>
      <w:r>
        <w:rPr>
          <w:rFonts w:ascii="Times New Roman"/>
          <w:b w:val="false"/>
          <w:i w:val="false"/>
          <w:color w:val="000000"/>
          <w:sz w:val="28"/>
        </w:rPr>
        <w:t xml:space="preserve">
      3. Қамтамасыз етілген цифрлық активті шығару ақпараттық жүйенің иесі немесе меншік иесі мен қамтамасыз етілген цифрлық активті шығаратын тұлға болып табылатын пайдаланушы арасындағы келісімге сәйкес ақпараттық жүйенің иесі немесе меншік иесі қамтамасыз етілген цифрлық активпен куәландырылатын құқықтары туралы жазбаны ақпараттық жүйеге енгізуі арқылы жүзеге асырылады. </w:t>
      </w:r>
    </w:p>
    <w:bookmarkEnd w:id="17"/>
    <w:p>
      <w:pPr>
        <w:spacing w:after="0"/>
        <w:ind w:left="0"/>
        <w:jc w:val="both"/>
      </w:pPr>
      <w:r>
        <w:rPr>
          <w:rFonts w:ascii="Times New Roman"/>
          <w:b w:val="false"/>
          <w:i w:val="false"/>
          <w:color w:val="000000"/>
          <w:sz w:val="28"/>
        </w:rPr>
        <w:t>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қызметтерді ұсыну жөніндегі қызметті жүзеге асыратын тұлға мүліктің меншік иесі немесе қамтамасыз етілген цифрлық активпен куәландырылатын құқықтар тиесілі өзге де тұлға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25.02.2022 </w:t>
      </w:r>
      <w:r>
        <w:rPr>
          <w:rFonts w:ascii="Times New Roman"/>
          <w:b w:val="false"/>
          <w:i w:val="false"/>
          <w:color w:val="000000"/>
          <w:sz w:val="28"/>
        </w:rPr>
        <w:t>№ 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Қамтамасыз етілген цифрлық активтің айналымы қамтамасыз етілген цифрлық активтерге құқықтарды куәландыру және оларға көшу, сондай-ақ цифрлық активтерді иеліктен шығаруды, сатып алуды, электрондық ақшаға, құндылықтарға және өзге де мүлікке айырбастауды қоса алғанда, ақпараттық жүйені пайдаланушылар арасындағы келісімге сәйкес ақпараттық жүйеге мәліметтерді енгізу арқылы оларға үшінші тұлғалардың құқықтарымен ауыртпалық салу жолымен жүзеге асырылады.</w:t>
      </w:r>
    </w:p>
    <w:bookmarkEnd w:id="18"/>
    <w:p>
      <w:pPr>
        <w:spacing w:after="0"/>
        <w:ind w:left="0"/>
        <w:jc w:val="both"/>
      </w:pPr>
      <w:r>
        <w:rPr>
          <w:rFonts w:ascii="Times New Roman"/>
          <w:b w:val="false"/>
          <w:i w:val="false"/>
          <w:color w:val="000000"/>
          <w:sz w:val="28"/>
        </w:rPr>
        <w:t>
      Ақпараттық жүйеге цифрлық активті немесе оған құқықтарды беру туралы мәліметтерді енгізуге мынадай шарттар орындалған кезде:</w:t>
      </w:r>
    </w:p>
    <w:p>
      <w:pPr>
        <w:spacing w:after="0"/>
        <w:ind w:left="0"/>
        <w:jc w:val="both"/>
      </w:pPr>
      <w:r>
        <w:rPr>
          <w:rFonts w:ascii="Times New Roman"/>
          <w:b w:val="false"/>
          <w:i w:val="false"/>
          <w:color w:val="000000"/>
          <w:sz w:val="28"/>
        </w:rPr>
        <w:t>
      1) мәліметтер енгізуді жүзеге асырған тұлға осы Қағидаларда айқындалған тәртіппен цифрлық активтерді шығару, олардың сауда-саттығын ұйымдастыру, сондай-ақ бөлінген деректер платформасында ақшаға, құндылықтарға және өзге де мүлікке цифрлық активтерді айырбастау бойынша қызметтер ұсыну жөніндегі қызметті жүзеге асыратын тұлғаның ақпараттық жүйесіне кіру рұқсаты болған жағдайда;</w:t>
      </w:r>
    </w:p>
    <w:p>
      <w:pPr>
        <w:spacing w:after="0"/>
        <w:ind w:left="0"/>
        <w:jc w:val="both"/>
      </w:pPr>
      <w:r>
        <w:rPr>
          <w:rFonts w:ascii="Times New Roman"/>
          <w:b w:val="false"/>
          <w:i w:val="false"/>
          <w:color w:val="000000"/>
          <w:sz w:val="28"/>
        </w:rPr>
        <w:t xml:space="preserve">
      2) цифрлық активтерді шығару, олардың сауда-саттығын ұйымдастыру, сондай-ақ бөлінген деректер платформасында ақшаға, құндылықтарға және өзге де мүлікке цифрлық активтерді айырбастау бойынша қызметтерді ұсыну жөніндегі қызметті жүзеге асыратын тұлғаның ақпараттық жүйесі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 келген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25.02.2022 </w:t>
      </w:r>
      <w:r>
        <w:rPr>
          <w:rFonts w:ascii="Times New Roman"/>
          <w:b w:val="false"/>
          <w:i w:val="false"/>
          <w:color w:val="000000"/>
          <w:sz w:val="28"/>
        </w:rPr>
        <w:t>№ 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5. Ақпараттық жүйенің меншік иесі, иеленушісі және пайдаланушысы деректер валидациясының берілген алгоритіміне сәйкес өзгерістер енгізудің тең құқықтарына ие болады. Бұл ретте өзгерістер ақпараттық жүйенің барлық пайдаланушысында синхрондалады.</w:t>
      </w:r>
    </w:p>
    <w:bookmarkEnd w:id="19"/>
    <w:bookmarkStart w:name="z24" w:id="20"/>
    <w:p>
      <w:pPr>
        <w:spacing w:after="0"/>
        <w:ind w:left="0"/>
        <w:jc w:val="both"/>
      </w:pPr>
      <w:r>
        <w:rPr>
          <w:rFonts w:ascii="Times New Roman"/>
          <w:b w:val="false"/>
          <w:i w:val="false"/>
          <w:color w:val="000000"/>
          <w:sz w:val="28"/>
        </w:rPr>
        <w:t>
      6. Қамтамасыз етілген цифрлық актив қаржы құралдарының құқықтарын қамтамасыз етпейді және оны заңды тұлғаға қатысты пайда үлесіне құқықтары немесе басқару құқықтары бар меншік иесіне немесе иеленушіге бермейді.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