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5cc0" w14:textId="13e5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12 қазандағы № 991 бұйрығы. Қазақстан Республикасының Әділет министрлігінде 2020 жылғы 16 қазанда № 21448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"144-2. Қордың шотына түсімдер бойынша операциялар ҚР ББС сәйкес ескеріледі.";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жеткізгіште 2 данада ұсынылады, бұл ретте тіркелген шарттың (қосымша келісімнің) қағаз жеткізгіштегі көшірмесі аумақтық қазынашылық бөлімшесінде қалады.</w:t>
      </w:r>
    </w:p>
    <w:bookmarkEnd w:id="4"/>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жеткізгіште ұсынады.</w:t>
      </w:r>
    </w:p>
    <w:p>
      <w:pPr>
        <w:spacing w:after="0"/>
        <w:ind w:left="0"/>
        <w:jc w:val="both"/>
      </w:pPr>
      <w:r>
        <w:rPr>
          <w:rFonts w:ascii="Times New Roman"/>
          <w:b w:val="false"/>
          <w:i w:val="false"/>
          <w:color w:val="000000"/>
          <w:sz w:val="28"/>
        </w:rPr>
        <w:t>
      "Электрондық мемлекеттік сатып алу" АИАЖ-де жасалған азаматтық-құқықтық мәмілені тіркеуге арналған өтінім аумақтық қазынашылық бөлімшесіне "Электрондық мемлекеттік сатып алу" АИАЖ-ден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жеткізгіште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бұйрықтың көшірмесін, жобалау-сметалық құжаттаманың қолданылу мерзімі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бұйрықтың көшірмесін сканерленген түрін тіркейді.</w:t>
      </w:r>
    </w:p>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сондай-ақ коронавирустық инфекцияға қарсы иммундық-биологиялық препараттарды шығаратын биофармацевтикалық зауытты салу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p>
      <w:pPr>
        <w:spacing w:after="0"/>
        <w:ind w:left="0"/>
        <w:jc w:val="both"/>
      </w:pPr>
      <w:r>
        <w:rPr>
          <w:rFonts w:ascii="Times New Roman"/>
          <w:b w:val="false"/>
          <w:i w:val="false"/>
          <w:color w:val="000000"/>
          <w:sz w:val="28"/>
        </w:rPr>
        <w:t xml:space="preserve">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жағдайда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 </w:t>
      </w:r>
    </w:p>
    <w:bookmarkStart w:name="z8"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(Ерназарова З.А.)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