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df13" w14:textId="5a6d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қаулысына өзгерістер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қыркүйектегі № 92 қаулысы. Қазақстан Республикасының Әділет министрлігінде 2020 жылғы 1 қазанда № 21348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2004 жылғы 6 шілдедегі, "</w:t>
      </w:r>
      <w:r>
        <w:rPr>
          <w:rFonts w:ascii="Times New Roman"/>
          <w:b w:val="false"/>
          <w:i w:val="false"/>
          <w:color w:val="000000"/>
          <w:sz w:val="28"/>
        </w:rPr>
        <w:t>Қазақстан Республикасының кейбір заңнамалық актілеріне бизнес-ахуалды жақсарту мәселелері бойынша өзгерістер мен толықтырулар енгізу туралы</w:t>
      </w:r>
      <w:r>
        <w:rPr>
          <w:rFonts w:ascii="Times New Roman"/>
          <w:b w:val="false"/>
          <w:i w:val="false"/>
          <w:color w:val="000000"/>
          <w:sz w:val="28"/>
        </w:rPr>
        <w:t>" 2020 жылғы 29 маусымдағы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"Ақпарат берушілердің кредиттік бюроларға ақпарат беру тәртібінің шарттары мен ең төмен талаптарын,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қағидаларын, сондай-ақ Кредиттік есепті берудің қағидалары мен шарттарын бекіту туралы" Қазақстан Республикасы Ұлттық Банкі Басқармасының 2017 жылғы 27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15115 болып тіркелген, 2017 жылғы 6 мамырда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Кредиттік бюроларға ақпарат беру тәртібінің шарттары мен ең төмен </w:t>
      </w:r>
      <w:r>
        <w:rPr>
          <w:rFonts w:ascii="Times New Roman"/>
          <w:b w:val="false"/>
          <w:i w:val="false"/>
          <w:color w:val="000000"/>
          <w:sz w:val="28"/>
        </w:rPr>
        <w:t>талаптарында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"2) ақпарат берушінің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және 4) тармақшаларында көрсетілген ақпаратты, кредиттік тарих субъектілерінің өздері туралы ақпаратты кредиттік бюроларға (мемлекет қатысатын кредиттік бюроны қоспағанда) электрондық нысанда беруге алған келісімдерін есепке алуы;</w:t>
      </w:r>
    </w:p>
    <w:bookmarkEnd w:id="4"/>
    <w:bookmarkStart w:name="z6" w:id="5"/>
    <w:p>
      <w:pPr>
        <w:spacing w:after="0"/>
        <w:ind w:left="0"/>
        <w:jc w:val="both"/>
      </w:pPr>
      <w:r>
        <w:rPr>
          <w:rFonts w:ascii="Times New Roman"/>
          <w:b w:val="false"/>
          <w:i w:val="false"/>
          <w:color w:val="000000"/>
          <w:sz w:val="28"/>
        </w:rPr>
        <w:t xml:space="preserve">
      3) кредиттік тарих субъектісінің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келісімінің болуы.";</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9" w:id="7"/>
    <w:p>
      <w:pPr>
        <w:spacing w:after="0"/>
        <w:ind w:left="0"/>
        <w:jc w:val="both"/>
      </w:pPr>
      <w:r>
        <w:rPr>
          <w:rFonts w:ascii="Times New Roman"/>
          <w:b w:val="false"/>
          <w:i w:val="false"/>
          <w:color w:val="000000"/>
          <w:sz w:val="28"/>
        </w:rPr>
        <w:t xml:space="preserve">
      "3. Кредиттік тарих субъектісінің өзі туралы ақпаратты кредиттік бюроларға (мемлекет қатысатын кредиттік бюроны қоспағанда) беруге келісімін және (немесе) кредиттік есепті алушыға кредиттік бюродан кредиттік есепті беруге келісімін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және 4) тармақшаларында көрсетілген ақпарат берушілер және кредиттік есептерді алушылар Қазақстан Республикасының кредиттік бюролар және кредиттік тарихты қалыптастыру туралы заңнамасының талаптарына және құжаттарды сақтау тәртібін айқындайтын ішкі құжаттарға сәйкес сақтауға тиіс.";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"4. Ақпарат берушілер ақпарат беруші мен кредиттік тарих субъектісінің арасында қарыз беру туралы шарт не өзге мәміле жасау кезінде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және 4) тармақшаларында көрсетілген кредиттік тарих субъектісінің ол туралы ақпаратты кредиттік бюроларға (мемлекет қатысатын кредиттік бюроны қоспағанда) беруге келісімін (бұдан әрі – ақпарат беруге келісім) алады.".</w:t>
      </w:r>
    </w:p>
    <w:bookmarkEnd w:id="8"/>
    <w:bookmarkStart w:name="z12" w:id="9"/>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1"/>
    <w:bookmarkStart w:name="z15" w:id="1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6" w:id="13"/>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3"/>
    <w:bookmarkStart w:name="z17" w:id="14"/>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4"/>
    <w:bookmarkStart w:name="z18" w:id="1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