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5bd2" w14:textId="27a5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30 қыркүйектегі № 420 бұйрығы. Қазақстан Республикасының Әділет министрлігінде 2020 жылғы 1 қазанда № 21344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болып тіркелген, 2012 жылғы 26 мамырдағы № 269-273 (27347) "Егемен Қазақстан"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"230. Борышкердің қарсылығы нотариусқа жеке беріледі не хабарламамен жіберіледі және кіріс құжаттарын тіркеу журналында тіркеледі.</w:t>
      </w:r>
    </w:p>
    <w:bookmarkEnd w:id="3"/>
    <w:p>
      <w:pPr>
        <w:spacing w:after="0"/>
        <w:ind w:left="0"/>
        <w:jc w:val="both"/>
      </w:pPr>
      <w:r>
        <w:rPr>
          <w:rFonts w:ascii="Times New Roman"/>
          <w:b w:val="false"/>
          <w:i w:val="false"/>
          <w:color w:val="000000"/>
          <w:sz w:val="28"/>
        </w:rPr>
        <w:t>
      Жеке тұлғаның өтінішінде қойылған қолдың түпнұсқалығы, қарсылықты өзі бергенді қоспағанда, нотариалды куәландырады.</w:t>
      </w:r>
    </w:p>
    <w:p>
      <w:pPr>
        <w:spacing w:after="0"/>
        <w:ind w:left="0"/>
        <w:jc w:val="both"/>
      </w:pPr>
      <w:r>
        <w:rPr>
          <w:rFonts w:ascii="Times New Roman"/>
          <w:b w:val="false"/>
          <w:i w:val="false"/>
          <w:color w:val="000000"/>
          <w:sz w:val="28"/>
        </w:rPr>
        <w:t>
      Заңды тұлғаның атынан берілетін өтінішке бірінші басшы қол қояды, заңды тұлғаның мөрімен (болған жағдайда) бекітіледі. Егер заңды тұлға (шағын кәсіпкерлік субъектілері) мөрсіз жұмыс істесе, өтініш берушінің қолының түпнұсқалылығы, қарсылықты өзі бергенді қоспағанда, нотариалды куәландырылады.";</w:t>
      </w:r>
    </w:p>
    <w:bookmarkStart w:name="z6" w:id="4"/>
    <w:p>
      <w:pPr>
        <w:spacing w:after="0"/>
        <w:ind w:left="0"/>
        <w:jc w:val="both"/>
      </w:pPr>
      <w:r>
        <w:rPr>
          <w:rFonts w:ascii="Times New Roman"/>
          <w:b w:val="false"/>
          <w:i w:val="false"/>
          <w:color w:val="000000"/>
          <w:sz w:val="28"/>
        </w:rPr>
        <w:t>
      мынадай мазмұндағы 223-1-тармақпен толықтырылсын:</w:t>
      </w:r>
    </w:p>
    <w:bookmarkEnd w:id="4"/>
    <w:bookmarkStart w:name="z7" w:id="5"/>
    <w:p>
      <w:pPr>
        <w:spacing w:after="0"/>
        <w:ind w:left="0"/>
        <w:jc w:val="both"/>
      </w:pPr>
      <w:r>
        <w:rPr>
          <w:rFonts w:ascii="Times New Roman"/>
          <w:b w:val="false"/>
          <w:i w:val="false"/>
          <w:color w:val="000000"/>
          <w:sz w:val="28"/>
        </w:rPr>
        <w:t>
      "223-1. Тұрақсыздық айыбын (өсімпұлды), пайыздарды өндіріп алу жөніндегі атқару жазбасын жасау үшін, банктік қарыздарды қоспағанда, егер олар тиесілі болса:</w:t>
      </w:r>
    </w:p>
    <w:bookmarkEnd w:id="5"/>
    <w:p>
      <w:pPr>
        <w:spacing w:after="0"/>
        <w:ind w:left="0"/>
        <w:jc w:val="both"/>
      </w:pPr>
      <w:r>
        <w:rPr>
          <w:rFonts w:ascii="Times New Roman"/>
          <w:b w:val="false"/>
          <w:i w:val="false"/>
          <w:color w:val="000000"/>
          <w:sz w:val="28"/>
        </w:rPr>
        <w:t>
      борышкерге өндіріп алушы жіберген және орындалмаған міндеттемеге нұсқауды (шарт, күні), берешек сомасын өтеу немесе өзге де жылжымалы мүлікті талап етуге қатысты міндеттеменің орындалуы туралы талапты, есептелген тұрақсыздық айыбының (өсімпұлдың), пайыздардың сомасын, олар есептелген кезеңді, борышкердің наразылығына жауап беру мерзімін және өндіріп алушының атқарушылық жазба жасау үшін нотариусқа жүгіну құқығы туралы ескертуді қамтитын наразылықты;</w:t>
      </w:r>
    </w:p>
    <w:p>
      <w:pPr>
        <w:spacing w:after="0"/>
        <w:ind w:left="0"/>
        <w:jc w:val="both"/>
      </w:pPr>
      <w:r>
        <w:rPr>
          <w:rFonts w:ascii="Times New Roman"/>
          <w:b w:val="false"/>
          <w:i w:val="false"/>
          <w:color w:val="000000"/>
          <w:sz w:val="28"/>
        </w:rPr>
        <w:t>
      өндіріп алушының борышкерге наразылықты жолдауының дәлелдемесін;</w:t>
      </w:r>
    </w:p>
    <w:p>
      <w:pPr>
        <w:spacing w:after="0"/>
        <w:ind w:left="0"/>
        <w:jc w:val="both"/>
      </w:pPr>
      <w:r>
        <w:rPr>
          <w:rFonts w:ascii="Times New Roman"/>
          <w:b w:val="false"/>
          <w:i w:val="false"/>
          <w:color w:val="000000"/>
          <w:sz w:val="28"/>
        </w:rPr>
        <w:t>
      борышкердің өндіріп алушының наразылығына жазбаша жауабы ұсынылады, онда ол міндеттемені орындамау фактісін мойындайды, міндеттемені орындамағаны үшін оның жауапкершілігін, шартты, күнді, берешектің немесе өзге де жылжымалы мүлікті талап етуге жататын сомасын және наразылықта көрсетілген кезең үшін есептелген тұрақсыздық айыбын (өсімақыны), пайыздарды көрсете отырып,жоққа шығаратын дәлелдерді келтірмейді.</w:t>
      </w:r>
    </w:p>
    <w:p>
      <w:pPr>
        <w:spacing w:after="0"/>
        <w:ind w:left="0"/>
        <w:jc w:val="both"/>
      </w:pPr>
      <w:r>
        <w:rPr>
          <w:rFonts w:ascii="Times New Roman"/>
          <w:b w:val="false"/>
          <w:i w:val="false"/>
          <w:color w:val="000000"/>
          <w:sz w:val="28"/>
        </w:rPr>
        <w:t>
      Наразылық, егер ол борышкерге жіберілсе, келесі тәсілдердің бірімен немесе Шарттың талаптарында көзделген тәсілмен: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не тіркелген жері бойынша алушының қолы қойылып, алынған күні көрсетіле отырып қолма-қол немесе тапсырылғаны туралы, соның ішінде отбасының кәмелетке толған мүшелерінің бірі, көрсетілген мекенжай бойынша адаммен бірге тұратын басқа адам алған хабарламасы бар тапсырыс хатпен;</w:t>
      </w:r>
    </w:p>
    <w:p>
      <w:pPr>
        <w:spacing w:after="0"/>
        <w:ind w:left="0"/>
        <w:jc w:val="both"/>
      </w:pPr>
      <w:r>
        <w:rPr>
          <w:rFonts w:ascii="Times New Roman"/>
          <w:b w:val="false"/>
          <w:i w:val="false"/>
          <w:color w:val="000000"/>
          <w:sz w:val="28"/>
        </w:rPr>
        <w:t>
      жеткізуді тіркеуді қамтамасыз ететін өзге байланыс құралдарын пайдалана отырып жеткізілген болып саналады.</w:t>
      </w:r>
    </w:p>
    <w:p>
      <w:pPr>
        <w:spacing w:after="0"/>
        <w:ind w:left="0"/>
        <w:jc w:val="both"/>
      </w:pPr>
      <w:r>
        <w:rPr>
          <w:rFonts w:ascii="Times New Roman"/>
          <w:b w:val="false"/>
          <w:i w:val="false"/>
          <w:color w:val="000000"/>
          <w:sz w:val="28"/>
        </w:rPr>
        <w:t>
      Наразылықты адресатқа, алушыға тапсыру мүмкін еместігі туралы белгімен не оны қабылдаудан бас тартумен, сондай-ақ оны осы тармақта көрсетілген өзге байланыс құралымен қабылдағанын растамаумен байланысты қайтарған жағдайда, наразылық тиісті түрде жеткізілді деп есептеледі.</w:t>
      </w:r>
    </w:p>
    <w:p>
      <w:pPr>
        <w:spacing w:after="0"/>
        <w:ind w:left="0"/>
        <w:jc w:val="both"/>
      </w:pPr>
      <w:r>
        <w:rPr>
          <w:rFonts w:ascii="Times New Roman"/>
          <w:b w:val="false"/>
          <w:i w:val="false"/>
          <w:color w:val="000000"/>
          <w:sz w:val="28"/>
        </w:rPr>
        <w:t>
      Егер шартта тұрақсыздық айыбын (өсімпұлды), пайыздарды өндіріп алудың өзге тетігі көзделсе, онда оны өндіріп алу шарттың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226-тармақтың</w:t>
      </w:r>
      <w:r>
        <w:rPr>
          <w:rFonts w:ascii="Times New Roman"/>
          <w:b w:val="false"/>
          <w:i w:val="false"/>
          <w:color w:val="000000"/>
          <w:sz w:val="28"/>
        </w:rPr>
        <w:t xml:space="preserve"> 5) тармақшасы мынадай редакцияда жазылсын:</w:t>
      </w:r>
    </w:p>
    <w:bookmarkStart w:name="z9" w:id="6"/>
    <w:p>
      <w:pPr>
        <w:spacing w:after="0"/>
        <w:ind w:left="0"/>
        <w:jc w:val="both"/>
      </w:pPr>
      <w:r>
        <w:rPr>
          <w:rFonts w:ascii="Times New Roman"/>
          <w:b w:val="false"/>
          <w:i w:val="false"/>
          <w:color w:val="000000"/>
          <w:sz w:val="28"/>
        </w:rPr>
        <w:t>
      "5) өндіріп алуға жататын немесе талап етуге жататын сәйкестендіру сипаттамаларын, сондай-ақ тұрақсыздық айыбының (өсімпұлдың) сомасын, пайыздарды көрсете отырып, талап етуге жататын соманы немесе нысанын белгілеу;".</w:t>
      </w:r>
    </w:p>
    <w:bookmarkEnd w:id="6"/>
    <w:bookmarkStart w:name="z10" w:id="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