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bd84" w14:textId="459b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28 қарашадағы № 531 және Қазақстан Республикасы Әділет министрінің 2014 жылғы 11 желтоқсандағы № 360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28 қыркүйектегі № 928 және Қазақстан Республикасы Әділет министрінің 2020 жылғы 29 қыркүйектегі № 427 бірлескен бұйрығы. Қазақстан Республикасының Әділет министрлігінде 2020 жылғы 30 қыркүйекте № 21326 болып тіркелді. Күші жойылды - Қазақстан Республикасы Қаржылық мониторинг агенттігі Төрағасының 2021 жылғы 6 тамыздағы № 5 және Қазақстан Республикасы Әділет министрінің м.а. 2021 жылғы 19 тамыздағы № 722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Қаржылық мониторинг агенттігі Төрағасының 06.08.2021 № 5 және ҚР Әділет министрінің м.а. 19.08.2021 № 722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бірлескен бұйрық 15.11.2020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БҰЙЫРАМЫЗ:</w:t>
      </w:r>
    </w:p>
    <w:bookmarkEnd w:id="0"/>
    <w:bookmarkStart w:name="z2" w:id="1"/>
    <w:p>
      <w:pPr>
        <w:spacing w:after="0"/>
        <w:ind w:left="0"/>
        <w:jc w:val="both"/>
      </w:pPr>
      <w:r>
        <w:rPr>
          <w:rFonts w:ascii="Times New Roman"/>
          <w:b w:val="false"/>
          <w:i w:val="false"/>
          <w:color w:val="000000"/>
          <w:sz w:val="28"/>
        </w:rPr>
        <w:t xml:space="preserve">
      1.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28 қарашадағы № 531 және Қазақстан Республикасы Әділет министрінің 2014 жылғы 11 желтоқсандағы № 360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10000 болып тіркелген, 2015 жылғы 29 қантарда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бірлескен бұйрық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2020 жылдың 15 қарашасынан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427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28 қыркүйегі</w:t>
            </w:r>
            <w:r>
              <w:br/>
            </w:r>
            <w:r>
              <w:rPr>
                <w:rFonts w:ascii="Times New Roman"/>
                <w:b w:val="false"/>
                <w:i w:val="false"/>
                <w:color w:val="000000"/>
                <w:sz w:val="20"/>
              </w:rPr>
              <w:t>№ 928 Бірлескен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10"/>
    <w:bookmarkStart w:name="z13" w:id="11"/>
    <w:p>
      <w:pPr>
        <w:spacing w:after="0"/>
        <w:ind w:left="0"/>
        <w:jc w:val="both"/>
      </w:pPr>
      <w:r>
        <w:rPr>
          <w:rFonts w:ascii="Times New Roman"/>
          <w:b w:val="false"/>
          <w:i w:val="false"/>
          <w:color w:val="000000"/>
          <w:sz w:val="28"/>
        </w:rPr>
        <w:t>
      2. Осы Талаптарда Қаржы мониторингінің субъектілеріне ақшамен және (немесе) өзге мүлікпен нотариаттық іс-әрекеттерді жүзеге асыратын нотариустар (бұдан әрі – Субъектілер) жатады.</w:t>
      </w:r>
    </w:p>
    <w:bookmarkEnd w:id="11"/>
    <w:bookmarkStart w:name="z14" w:id="12"/>
    <w:p>
      <w:pPr>
        <w:spacing w:after="0"/>
        <w:ind w:left="0"/>
        <w:jc w:val="both"/>
      </w:pPr>
      <w:r>
        <w:rPr>
          <w:rFonts w:ascii="Times New Roman"/>
          <w:b w:val="false"/>
          <w:i w:val="false"/>
          <w:color w:val="000000"/>
          <w:sz w:val="28"/>
        </w:rPr>
        <w:t xml:space="preserve">
      3. Талаптарда пайдаланылатын ұғымдар КЖ/ТҚҚ туралы Занда және 1997 жылғы 14 шілдедегі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мағыналарында қолданылады.</w:t>
      </w:r>
    </w:p>
    <w:bookmarkEnd w:id="12"/>
    <w:bookmarkStart w:name="z15" w:id="13"/>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13"/>
    <w:p>
      <w:pPr>
        <w:spacing w:after="0"/>
        <w:ind w:left="0"/>
        <w:jc w:val="both"/>
      </w:pPr>
      <w:r>
        <w:rPr>
          <w:rFonts w:ascii="Times New Roman"/>
          <w:b w:val="false"/>
          <w:i w:val="false"/>
          <w:color w:val="000000"/>
          <w:sz w:val="28"/>
        </w:rPr>
        <w:t>
      1) қылмыстық жолмен алынған кірістерді заңдастыру (жылыстату) және терроризмді қаржыландыру тәуекелдері (бұдан әрі – КЖ/ТҚ) – Субъектілерді КЖ/ТҚ заңдастыру процестеріне немесе өзге қылмыстық әрекетке әдейі немесе әдейі емес тарту мүмкіндігі;</w:t>
      </w:r>
    </w:p>
    <w:p>
      <w:pPr>
        <w:spacing w:after="0"/>
        <w:ind w:left="0"/>
        <w:jc w:val="both"/>
      </w:pPr>
      <w:r>
        <w:rPr>
          <w:rFonts w:ascii="Times New Roman"/>
          <w:b w:val="false"/>
          <w:i w:val="false"/>
          <w:color w:val="000000"/>
          <w:sz w:val="28"/>
        </w:rPr>
        <w:t>
      2) КЖ/ТҚ заңдастыру тәуекелдерін басқару – КЖ/ТҚ заңдастыру тәуекелдерін анықтау, сондай-ақ оларды азайту мониторингі бойынша Субъектілер қабылдайтын шаралар жиынтығы (қызметтерге, клиенттерге қатысты);</w:t>
      </w:r>
    </w:p>
    <w:p>
      <w:pPr>
        <w:spacing w:after="0"/>
        <w:ind w:left="0"/>
        <w:jc w:val="both"/>
      </w:pPr>
      <w:r>
        <w:rPr>
          <w:rFonts w:ascii="Times New Roman"/>
          <w:b w:val="false"/>
          <w:i w:val="false"/>
          <w:color w:val="000000"/>
          <w:sz w:val="28"/>
        </w:rPr>
        <w:t xml:space="preserve">
      3)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Субъектілердің қаржы мониторингіне жататын операциялар туралы мәліметтер мен ақпаратты беру қағидаларымен айқындалатын нысан;</w:t>
      </w:r>
    </w:p>
    <w:p>
      <w:pPr>
        <w:spacing w:after="0"/>
        <w:ind w:left="0"/>
        <w:jc w:val="both"/>
      </w:pPr>
      <w:r>
        <w:rPr>
          <w:rFonts w:ascii="Times New Roman"/>
          <w:b w:val="false"/>
          <w:i w:val="false"/>
          <w:color w:val="000000"/>
          <w:sz w:val="28"/>
        </w:rPr>
        <w:t xml:space="preserve">
      4) уәкiлеттi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(бұдан әрі – КЖ/ТҚҚ) жөніндегі өзге де шараларды қолданатын мемлекеттік орган.</w:t>
      </w:r>
    </w:p>
    <w:bookmarkStart w:name="z16" w:id="14"/>
    <w:p>
      <w:pPr>
        <w:spacing w:after="0"/>
        <w:ind w:left="0"/>
        <w:jc w:val="both"/>
      </w:pPr>
      <w:r>
        <w:rPr>
          <w:rFonts w:ascii="Times New Roman"/>
          <w:b w:val="false"/>
          <w:i w:val="false"/>
          <w:color w:val="000000"/>
          <w:sz w:val="28"/>
        </w:rPr>
        <w:t>
      5. Ішкі бақылау:</w:t>
      </w:r>
    </w:p>
    <w:bookmarkEnd w:id="14"/>
    <w:p>
      <w:pPr>
        <w:spacing w:after="0"/>
        <w:ind w:left="0"/>
        <w:jc w:val="both"/>
      </w:pPr>
      <w:r>
        <w:rPr>
          <w:rFonts w:ascii="Times New Roman"/>
          <w:b w:val="false"/>
          <w:i w:val="false"/>
          <w:color w:val="000000"/>
          <w:sz w:val="28"/>
        </w:rPr>
        <w:t>
      1) Субъектілердің КЖ/ТҚҚ туралы Қазақстан Республикасы заңнамасының талаптарын орындауды қамтамасыз етуі;</w:t>
      </w:r>
    </w:p>
    <w:p>
      <w:pPr>
        <w:spacing w:after="0"/>
        <w:ind w:left="0"/>
        <w:jc w:val="both"/>
      </w:pPr>
      <w:r>
        <w:rPr>
          <w:rFonts w:ascii="Times New Roman"/>
          <w:b w:val="false"/>
          <w:i w:val="false"/>
          <w:color w:val="000000"/>
          <w:sz w:val="28"/>
        </w:rPr>
        <w:t>
      2) ішкі бақылау жүйесінің тиімділігін КЖ/ТҚ заңдастыру тәуекелдерін басқару үшін жеткілікті деңгейде қолдауы;</w:t>
      </w:r>
    </w:p>
    <w:p>
      <w:pPr>
        <w:spacing w:after="0"/>
        <w:ind w:left="0"/>
        <w:jc w:val="both"/>
      </w:pPr>
      <w:r>
        <w:rPr>
          <w:rFonts w:ascii="Times New Roman"/>
          <w:b w:val="false"/>
          <w:i w:val="false"/>
          <w:color w:val="000000"/>
          <w:sz w:val="28"/>
        </w:rPr>
        <w:t>
      3) КЖ/ТҚ заңдастыру тәуекелдерін азайту мақсатында жүзеге асырылады.</w:t>
      </w:r>
    </w:p>
    <w:bookmarkStart w:name="z17" w:id="15"/>
    <w:p>
      <w:pPr>
        <w:spacing w:after="0"/>
        <w:ind w:left="0"/>
        <w:jc w:val="both"/>
      </w:pPr>
      <w:r>
        <w:rPr>
          <w:rFonts w:ascii="Times New Roman"/>
          <w:b w:val="false"/>
          <w:i w:val="false"/>
          <w:color w:val="000000"/>
          <w:sz w:val="28"/>
        </w:rPr>
        <w:t>
      6. Субъектілер Ішкі бақылау қағидаларын (бұдан әрі – ІБҚ) ұйымдастыру және сақтау бойынша жауапты тұлғалар болып табылады.</w:t>
      </w:r>
    </w:p>
    <w:bookmarkEnd w:id="15"/>
    <w:bookmarkStart w:name="z18" w:id="16"/>
    <w:p>
      <w:pPr>
        <w:spacing w:after="0"/>
        <w:ind w:left="0"/>
        <w:jc w:val="both"/>
      </w:pPr>
      <w:r>
        <w:rPr>
          <w:rFonts w:ascii="Times New Roman"/>
          <w:b w:val="false"/>
          <w:i w:val="false"/>
          <w:color w:val="000000"/>
          <w:sz w:val="28"/>
        </w:rPr>
        <w:t>
      7. ІБҚ бұл КЖ/ТҚҚ-ға бағытталған жұмыстың ұйымдық негіздерін реттейтін және Субъектілердің КЖ/ТҚҚ мақсатында іс-әрекет жасау тәртібін белгілейтін құжат болып табылады.</w:t>
      </w:r>
    </w:p>
    <w:bookmarkEnd w:id="16"/>
    <w:bookmarkStart w:name="z19" w:id="17"/>
    <w:p>
      <w:pPr>
        <w:spacing w:after="0"/>
        <w:ind w:left="0"/>
        <w:jc w:val="both"/>
      </w:pPr>
      <w:r>
        <w:rPr>
          <w:rFonts w:ascii="Times New Roman"/>
          <w:b w:val="false"/>
          <w:i w:val="false"/>
          <w:color w:val="000000"/>
          <w:sz w:val="28"/>
        </w:rPr>
        <w:t xml:space="preserve">
      8. ІБҚ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бағдарламаларды қамтиды, оларды Субъектілер талаптарға сәйкес дербес әзірлейді және Субъектілердің ішкі құжаты не мұндай құжаттардың жиынтығы болып табылады.</w:t>
      </w:r>
    </w:p>
    <w:bookmarkEnd w:id="17"/>
    <w:bookmarkStart w:name="z20" w:id="18"/>
    <w:p>
      <w:pPr>
        <w:spacing w:after="0"/>
        <w:ind w:left="0"/>
        <w:jc w:val="both"/>
      </w:pPr>
      <w:r>
        <w:rPr>
          <w:rFonts w:ascii="Times New Roman"/>
          <w:b w:val="false"/>
          <w:i w:val="false"/>
          <w:color w:val="000000"/>
          <w:sz w:val="28"/>
        </w:rPr>
        <w:t>
      9. КЖ/ТҚҚ туралы заңнамаға өзгерістер және (немесе) толықтырулар енгізілген жағдайда, Субъектілер 30 күнтізбелік күн ішінде ІБҚ-ға тиісті өзгерістер және (немесе) толықтырулар енгізеді.</w:t>
      </w:r>
    </w:p>
    <w:bookmarkEnd w:id="18"/>
    <w:bookmarkStart w:name="z21" w:id="19"/>
    <w:p>
      <w:pPr>
        <w:spacing w:after="0"/>
        <w:ind w:left="0"/>
        <w:jc w:val="left"/>
      </w:pPr>
      <w:r>
        <w:rPr>
          <w:rFonts w:ascii="Times New Roman"/>
          <w:b/>
          <w:i w:val="false"/>
          <w:color w:val="000000"/>
        </w:rPr>
        <w:t xml:space="preserve"> 2-тарау. Ішкі бақылауды ұйымдастыру бағдарламасы</w:t>
      </w:r>
    </w:p>
    <w:bookmarkEnd w:id="19"/>
    <w:bookmarkStart w:name="z22" w:id="20"/>
    <w:p>
      <w:pPr>
        <w:spacing w:after="0"/>
        <w:ind w:left="0"/>
        <w:jc w:val="both"/>
      </w:pPr>
      <w:r>
        <w:rPr>
          <w:rFonts w:ascii="Times New Roman"/>
          <w:b w:val="false"/>
          <w:i w:val="false"/>
          <w:color w:val="000000"/>
          <w:sz w:val="28"/>
        </w:rPr>
        <w:t>
      10. Ішкі бақылауды ұйымдастыру бағдарламасы:</w:t>
      </w:r>
    </w:p>
    <w:bookmarkEnd w:id="20"/>
    <w:p>
      <w:pPr>
        <w:spacing w:after="0"/>
        <w:ind w:left="0"/>
        <w:jc w:val="both"/>
      </w:pPr>
      <w:r>
        <w:rPr>
          <w:rFonts w:ascii="Times New Roman"/>
          <w:b w:val="false"/>
          <w:i w:val="false"/>
          <w:color w:val="000000"/>
          <w:sz w:val="28"/>
        </w:rPr>
        <w:t>
      1) КЖ/ТҚҚ мақсатында ішкі бақылауды жүзеге асыру кезінде Субъектілердің функцияларын сипаттауды қоса алғанда, ішкі бақылауды ұйымдастыру;</w:t>
      </w:r>
    </w:p>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операцияларды тоқтату жөнінде шаралар қолдану;</w:t>
      </w:r>
    </w:p>
    <w:p>
      <w:pPr>
        <w:spacing w:after="0"/>
        <w:ind w:left="0"/>
        <w:jc w:val="both"/>
      </w:pPr>
      <w:r>
        <w:rPr>
          <w:rFonts w:ascii="Times New Roman"/>
          <w:b w:val="false"/>
          <w:i w:val="false"/>
          <w:color w:val="000000"/>
          <w:sz w:val="28"/>
        </w:rPr>
        <w:t xml:space="preserve">
      3) клиенттің күдікті ретінде КЖ/ТҚ заңдастыру типологияларына, схемаларына және тәсілдеріне сәйкес келетін сипаттамасы бар операциясын тануы; </w:t>
      </w:r>
    </w:p>
    <w:p>
      <w:pPr>
        <w:spacing w:after="0"/>
        <w:ind w:left="0"/>
        <w:jc w:val="both"/>
      </w:pPr>
      <w:r>
        <w:rPr>
          <w:rFonts w:ascii="Times New Roman"/>
          <w:b w:val="false"/>
          <w:i w:val="false"/>
          <w:color w:val="000000"/>
          <w:sz w:val="28"/>
        </w:rPr>
        <w:t>
      4) қаржы мониторингіне жататын операциялар туралы мәліметтер мен ақпаратты, клиентке іскерлік қатынастар орнатудан бас тарту, клиентпен іскерлік қатынастарды тоқтату,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 нұсқаулары мен регламенттерін қоса алғанда, ақшамен және (немесе) өзге мүлікпен операциялар жүргізуден бас тарту фактілерін уәкілетті органға ұсыну;</w:t>
      </w:r>
    </w:p>
    <w:p>
      <w:pPr>
        <w:spacing w:after="0"/>
        <w:ind w:left="0"/>
        <w:jc w:val="both"/>
      </w:pPr>
      <w:r>
        <w:rPr>
          <w:rFonts w:ascii="Times New Roman"/>
          <w:b w:val="false"/>
          <w:i w:val="false"/>
          <w:color w:val="000000"/>
          <w:sz w:val="28"/>
        </w:rPr>
        <w:t>
      5) клиенттің досьесін және онымен хат алмасуды қоса алғанда,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тіркеу және сақтау;</w:t>
      </w:r>
    </w:p>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Субъектілер белгілеген тәртіппен жүзеге асырылады;</w:t>
      </w:r>
    </w:p>
    <w:p>
      <w:pPr>
        <w:spacing w:after="0"/>
        <w:ind w:left="0"/>
        <w:jc w:val="both"/>
      </w:pPr>
      <w:r>
        <w:rPr>
          <w:rFonts w:ascii="Times New Roman"/>
          <w:b w:val="false"/>
          <w:i w:val="false"/>
          <w:color w:val="000000"/>
          <w:sz w:val="28"/>
        </w:rPr>
        <w:t>
      6) Субъектілердің зерделенуге жататын күрделі, ерекше ірі және басқа да ерекше операцияны күдікті операция ретінде тануы.</w:t>
      </w:r>
    </w:p>
    <w:p>
      <w:pPr>
        <w:spacing w:after="0"/>
        <w:ind w:left="0"/>
        <w:jc w:val="both"/>
      </w:pPr>
      <w:r>
        <w:rPr>
          <w:rFonts w:ascii="Times New Roman"/>
          <w:b w:val="false"/>
          <w:i w:val="false"/>
          <w:color w:val="000000"/>
          <w:sz w:val="28"/>
        </w:rPr>
        <w:t>
      7) КЖ/ТҚ заңдастыру тәуекелдерін бағалау, анықтау, құжаттық тіркеу және бағалау нәтижелерін жаңарту;</w:t>
      </w:r>
    </w:p>
    <w:p>
      <w:pPr>
        <w:spacing w:after="0"/>
        <w:ind w:left="0"/>
        <w:jc w:val="both"/>
      </w:pPr>
      <w:r>
        <w:rPr>
          <w:rFonts w:ascii="Times New Roman"/>
          <w:b w:val="false"/>
          <w:i w:val="false"/>
          <w:color w:val="000000"/>
          <w:sz w:val="28"/>
        </w:rPr>
        <w:t>
      8) КЖ/ТҚ заңдастыру тәуекелдерін басқару және КЖ/ТҚ заңдастыру тәуекелдерін бағалау тәуекелдерін азайту бойынша бақылау шараларын, рәсімдерді әзірлеу;</w:t>
      </w:r>
    </w:p>
    <w:p>
      <w:pPr>
        <w:spacing w:after="0"/>
        <w:ind w:left="0"/>
        <w:jc w:val="both"/>
      </w:pPr>
      <w:r>
        <w:rPr>
          <w:rFonts w:ascii="Times New Roman"/>
          <w:b w:val="false"/>
          <w:i w:val="false"/>
          <w:color w:val="000000"/>
          <w:sz w:val="28"/>
        </w:rPr>
        <w:t>
      9) тәуекел дәрежесін ескере отырып өз клиенттерін жіктеу, КЖ/ТҚ заңдастыру тәуекелдерін бағалау.</w:t>
      </w:r>
    </w:p>
    <w:p>
      <w:pPr>
        <w:spacing w:after="0"/>
        <w:ind w:left="0"/>
        <w:jc w:val="both"/>
      </w:pPr>
      <w:r>
        <w:rPr>
          <w:rFonts w:ascii="Times New Roman"/>
          <w:b w:val="false"/>
          <w:i w:val="false"/>
          <w:color w:val="000000"/>
          <w:sz w:val="28"/>
        </w:rPr>
        <w:t>
      Субъектінің КЖ/ТҚҚ мақсатында ішкі бақылауды ұйымдастыру жөніндегі қосымша шаралар бағдарламасына енгізуіне жол беріледі.</w:t>
      </w:r>
    </w:p>
    <w:bookmarkStart w:name="z23" w:id="21"/>
    <w:p>
      <w:pPr>
        <w:spacing w:after="0"/>
        <w:ind w:left="0"/>
        <w:jc w:val="both"/>
      </w:pPr>
      <w:r>
        <w:rPr>
          <w:rFonts w:ascii="Times New Roman"/>
          <w:b w:val="false"/>
          <w:i w:val="false"/>
          <w:color w:val="000000"/>
          <w:sz w:val="28"/>
        </w:rPr>
        <w:t>
      11. Ішкі бақылауды ұйымдастыру бағдарламасына сәйкес Субъектілердің функциялары:</w:t>
      </w:r>
    </w:p>
    <w:bookmarkEnd w:id="21"/>
    <w:p>
      <w:pPr>
        <w:spacing w:after="0"/>
        <w:ind w:left="0"/>
        <w:jc w:val="both"/>
      </w:pPr>
      <w:r>
        <w:rPr>
          <w:rFonts w:ascii="Times New Roman"/>
          <w:b w:val="false"/>
          <w:i w:val="false"/>
          <w:color w:val="000000"/>
          <w:sz w:val="28"/>
        </w:rPr>
        <w:t>
      1) ІБҚ-ға өзгерістер және (немесе) толықтырулар әзірлеу, енгізу;</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ақпараттың берілуін ұйымдастыру және бақылау;</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күрделі, ерекше ірі және басқа да ерекше операцияларға, КЖ/ТҚ заңдастыру типологияларына, схемалары мен тәсілдеріне сәйкес келетін сипаттамалары бар операцияларға жатқызу туралы шешімдер қабылдау;</w:t>
      </w:r>
    </w:p>
    <w:p>
      <w:pPr>
        <w:spacing w:after="0"/>
        <w:ind w:left="0"/>
        <w:jc w:val="both"/>
      </w:pPr>
      <w:r>
        <w:rPr>
          <w:rFonts w:ascii="Times New Roman"/>
          <w:b w:val="false"/>
          <w:i w:val="false"/>
          <w:color w:val="000000"/>
          <w:sz w:val="28"/>
        </w:rPr>
        <w:t>
      5) клиенттердің операцияларын жүргізуді тоқтата тұру не одан бас тарту туралы және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уәкілетті органның күдікті операцияны жүргізуді тоқтата тұру туралы шешімдерін орындау;</w:t>
      </w:r>
    </w:p>
    <w:p>
      <w:pPr>
        <w:spacing w:after="0"/>
        <w:ind w:left="0"/>
        <w:jc w:val="both"/>
      </w:pPr>
      <w:r>
        <w:rPr>
          <w:rFonts w:ascii="Times New Roman"/>
          <w:b w:val="false"/>
          <w:i w:val="false"/>
          <w:color w:val="000000"/>
          <w:sz w:val="28"/>
        </w:rPr>
        <w:t>
      7)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құжаттық тіркеу;</w:t>
      </w:r>
    </w:p>
    <w:p>
      <w:pPr>
        <w:spacing w:after="0"/>
        <w:ind w:left="0"/>
        <w:jc w:val="both"/>
      </w:pPr>
      <w:r>
        <w:rPr>
          <w:rFonts w:ascii="Times New Roman"/>
          <w:b w:val="false"/>
          <w:i w:val="false"/>
          <w:color w:val="000000"/>
          <w:sz w:val="28"/>
        </w:rPr>
        <w:t>
      9) ІБҚ іске асыру нәтижесінде алынған деректер негізінде клиенттің досьесін қалыптастыру;</w:t>
      </w:r>
    </w:p>
    <w:p>
      <w:pPr>
        <w:spacing w:after="0"/>
        <w:ind w:left="0"/>
        <w:jc w:val="both"/>
      </w:pPr>
      <w:r>
        <w:rPr>
          <w:rFonts w:ascii="Times New Roman"/>
          <w:b w:val="false"/>
          <w:i w:val="false"/>
          <w:color w:val="000000"/>
          <w:sz w:val="28"/>
        </w:rPr>
        <w:t>
      10) тәуекелдерді басқару және ішкі бақылау жүйесін жақсарту жөнінде шаралар қабылдау;</w:t>
      </w:r>
    </w:p>
    <w:p>
      <w:pPr>
        <w:spacing w:after="0"/>
        <w:ind w:left="0"/>
        <w:jc w:val="both"/>
      </w:pPr>
      <w:r>
        <w:rPr>
          <w:rFonts w:ascii="Times New Roman"/>
          <w:b w:val="false"/>
          <w:i w:val="false"/>
          <w:color w:val="000000"/>
          <w:sz w:val="28"/>
        </w:rPr>
        <w:t>
      11) клиенттің досьесін және онымен хат алмасуды қоса алғанда,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клиентпен іскерлік қатынастар тоқтатылған күннен бастап кемінде бес жыл барлық күрделі, ерекше ірі және басқа да ерекше операцияларды зерделеу нәтижелерін сақтау жөніндегі шараларды қамтамасыз ету;</w:t>
      </w:r>
    </w:p>
    <w:p>
      <w:pPr>
        <w:spacing w:after="0"/>
        <w:ind w:left="0"/>
        <w:jc w:val="both"/>
      </w:pPr>
      <w:r>
        <w:rPr>
          <w:rFonts w:ascii="Times New Roman"/>
          <w:b w:val="false"/>
          <w:i w:val="false"/>
          <w:color w:val="000000"/>
          <w:sz w:val="28"/>
        </w:rPr>
        <w:t>
      12) өз функцияларын жүзеге асыру кезінде алынған ақпараттың құпиялылығын қамтамасыз ету.</w:t>
      </w:r>
    </w:p>
    <w:bookmarkStart w:name="z24" w:id="22"/>
    <w:p>
      <w:pPr>
        <w:spacing w:after="0"/>
        <w:ind w:left="0"/>
        <w:jc w:val="both"/>
      </w:pPr>
      <w:r>
        <w:rPr>
          <w:rFonts w:ascii="Times New Roman"/>
          <w:b w:val="false"/>
          <w:i w:val="false"/>
          <w:color w:val="000000"/>
          <w:sz w:val="28"/>
        </w:rPr>
        <w:t>
      12. Жүктелген функцияларға сәйкес Субъектілер:</w:t>
      </w:r>
    </w:p>
    <w:bookmarkEnd w:id="22"/>
    <w:p>
      <w:pPr>
        <w:spacing w:after="0"/>
        <w:ind w:left="0"/>
        <w:jc w:val="both"/>
      </w:pPr>
      <w:r>
        <w:rPr>
          <w:rFonts w:ascii="Times New Roman"/>
          <w:b w:val="false"/>
          <w:i w:val="false"/>
          <w:color w:val="000000"/>
          <w:sz w:val="28"/>
        </w:rPr>
        <w:t>
      1) КЖ/ТҚҚ туралы заңнаманың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2) уәкілетті органға оның сұратуы бойынша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Субъектілерге қосымша функциялар мен өкілеттіктер енгізуге жол беріледі.</w:t>
      </w:r>
    </w:p>
    <w:p>
      <w:pPr>
        <w:spacing w:after="0"/>
        <w:ind w:left="0"/>
        <w:jc w:val="both"/>
      </w:pPr>
      <w:r>
        <w:rPr>
          <w:rFonts w:ascii="Times New Roman"/>
          <w:b w:val="false"/>
          <w:i w:val="false"/>
          <w:color w:val="000000"/>
          <w:sz w:val="28"/>
        </w:rPr>
        <w:t>
      Субъектілер мен олардың жұмыскерлері клиенттерді және өзге де тұлғаларды уәкілетті органға осындай клиенттер туралы және олар жасайтын операциялар туралы ақпаратты, мәліметтер мен құжаттарды ұсынғаны туралы хабардар етпейді.</w:t>
      </w:r>
    </w:p>
    <w:bookmarkStart w:name="z25" w:id="23"/>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қаржыландырудың тәуекелдерін басқару бағдарламасы</w:t>
      </w:r>
    </w:p>
    <w:bookmarkEnd w:id="23"/>
    <w:bookmarkStart w:name="z26" w:id="24"/>
    <w:p>
      <w:pPr>
        <w:spacing w:after="0"/>
        <w:ind w:left="0"/>
        <w:jc w:val="both"/>
      </w:pPr>
      <w:r>
        <w:rPr>
          <w:rFonts w:ascii="Times New Roman"/>
          <w:b w:val="false"/>
          <w:i w:val="false"/>
          <w:color w:val="000000"/>
          <w:sz w:val="28"/>
        </w:rPr>
        <w:t>
      13. КЖ/ТҚ заңдастыру тәуекелдерін басқаруды ұйымдастыру мақсатында Субъектілер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КЖ/ТҚ заңдастыру тәуекелдерін басқару бағдарламасын әзірлейді.</w:t>
      </w:r>
    </w:p>
    <w:bookmarkEnd w:id="24"/>
    <w:p>
      <w:pPr>
        <w:spacing w:after="0"/>
        <w:ind w:left="0"/>
        <w:jc w:val="both"/>
      </w:pPr>
      <w:r>
        <w:rPr>
          <w:rFonts w:ascii="Times New Roman"/>
          <w:b w:val="false"/>
          <w:i w:val="false"/>
          <w:color w:val="000000"/>
          <w:sz w:val="28"/>
        </w:rPr>
        <w:t>
      Субъектілер жыл сайынғы негізде Субъектілер қызметтерінің КЖ/ТҚ заңдастыру тәуекелдерінің есебінен ақпаратты және кем дегенде тәуекелдердің мынадай ерекше санаттарын ескере отырып, КЖ/ТҚ заңдастыру тәуекелдеріне ұшырау дәрежесін бағалауды жүзеге асырады: клиенттердің типі бойынша тәуекел, елдік (географиялық) тәуекел, қызметтер және (немесе) оны ұсыну тәсілі бойынша тәуекел.</w:t>
      </w:r>
    </w:p>
    <w:p>
      <w:pPr>
        <w:spacing w:after="0"/>
        <w:ind w:left="0"/>
        <w:jc w:val="both"/>
      </w:pPr>
      <w:r>
        <w:rPr>
          <w:rFonts w:ascii="Times New Roman"/>
          <w:b w:val="false"/>
          <w:i w:val="false"/>
          <w:color w:val="000000"/>
          <w:sz w:val="28"/>
        </w:rPr>
        <w:t>
      Тәуекелдерді бағалау нәтижелері уәкiлеттi органның және реттеуші органның талап етуі бойынша беріледі.</w:t>
      </w:r>
    </w:p>
    <w:bookmarkStart w:name="z27" w:id="25"/>
    <w:p>
      <w:pPr>
        <w:spacing w:after="0"/>
        <w:ind w:left="0"/>
        <w:jc w:val="both"/>
      </w:pPr>
      <w:r>
        <w:rPr>
          <w:rFonts w:ascii="Times New Roman"/>
          <w:b w:val="false"/>
          <w:i w:val="false"/>
          <w:color w:val="000000"/>
          <w:sz w:val="28"/>
        </w:rPr>
        <w:t>
      14. Мәртебесі және (немесе) қызметі КЖ/ТҚ тәуекелін арттыратын клиенттердің түрлері:</w:t>
      </w:r>
    </w:p>
    <w:bookmarkEnd w:id="25"/>
    <w:p>
      <w:pPr>
        <w:spacing w:after="0"/>
        <w:ind w:left="0"/>
        <w:jc w:val="both"/>
      </w:pPr>
      <w:r>
        <w:rPr>
          <w:rFonts w:ascii="Times New Roman"/>
          <w:b w:val="false"/>
          <w:i w:val="false"/>
          <w:color w:val="000000"/>
          <w:sz w:val="28"/>
        </w:rPr>
        <w:t>
      1) клиент болып табылған жағдайда:</w:t>
      </w:r>
    </w:p>
    <w:p>
      <w:pPr>
        <w:spacing w:after="0"/>
        <w:ind w:left="0"/>
        <w:jc w:val="both"/>
      </w:pPr>
      <w:r>
        <w:rPr>
          <w:rFonts w:ascii="Times New Roman"/>
          <w:b w:val="false"/>
          <w:i w:val="false"/>
          <w:color w:val="000000"/>
          <w:sz w:val="28"/>
        </w:rPr>
        <w:t>
      шетелдік жария лауазымды тұлға;</w:t>
      </w:r>
    </w:p>
    <w:p>
      <w:pPr>
        <w:spacing w:after="0"/>
        <w:ind w:left="0"/>
        <w:jc w:val="both"/>
      </w:pPr>
      <w:r>
        <w:rPr>
          <w:rFonts w:ascii="Times New Roman"/>
          <w:b w:val="false"/>
          <w:i w:val="false"/>
          <w:color w:val="000000"/>
          <w:sz w:val="28"/>
        </w:rPr>
        <w:t>
      шетелдік жария лауазымды тұлғаның мүддесіне (пайдасына) әрекет ететін тұлға;</w:t>
      </w:r>
    </w:p>
    <w:p>
      <w:pPr>
        <w:spacing w:after="0"/>
        <w:ind w:left="0"/>
        <w:jc w:val="both"/>
      </w:pPr>
      <w:r>
        <w:rPr>
          <w:rFonts w:ascii="Times New Roman"/>
          <w:b w:val="false"/>
          <w:i w:val="false"/>
          <w:color w:val="000000"/>
          <w:sz w:val="28"/>
        </w:rPr>
        <w:t>
      шетелдік жария лауазымды тұлғаның жұбайы, жақын туысы болып табылатын тұлға;</w:t>
      </w:r>
    </w:p>
    <w:p>
      <w:pPr>
        <w:spacing w:after="0"/>
        <w:ind w:left="0"/>
        <w:jc w:val="both"/>
      </w:pPr>
      <w:r>
        <w:rPr>
          <w:rFonts w:ascii="Times New Roman"/>
          <w:b w:val="false"/>
          <w:i w:val="false"/>
          <w:color w:val="000000"/>
          <w:sz w:val="28"/>
        </w:rPr>
        <w:t>
      азаматтығы жоқ тұлға;</w:t>
      </w:r>
    </w:p>
    <w:p>
      <w:pPr>
        <w:spacing w:after="0"/>
        <w:ind w:left="0"/>
        <w:jc w:val="both"/>
      </w:pPr>
      <w:r>
        <w:rPr>
          <w:rFonts w:ascii="Times New Roman"/>
          <w:b w:val="false"/>
          <w:i w:val="false"/>
          <w:color w:val="000000"/>
          <w:sz w:val="28"/>
        </w:rPr>
        <w:t>
      Қазақстан Республикасында тіркелген немесе тұрған мекенжайы жоқ Қазақстан Республикасының азаматы;</w:t>
      </w:r>
    </w:p>
    <w:p>
      <w:pPr>
        <w:spacing w:after="0"/>
        <w:ind w:left="0"/>
        <w:jc w:val="both"/>
      </w:pPr>
      <w:r>
        <w:rPr>
          <w:rFonts w:ascii="Times New Roman"/>
          <w:b w:val="false"/>
          <w:i w:val="false"/>
          <w:color w:val="000000"/>
          <w:sz w:val="28"/>
        </w:rPr>
        <w:t>
      резидент емес;</w:t>
      </w:r>
    </w:p>
    <w:p>
      <w:pPr>
        <w:spacing w:after="0"/>
        <w:ind w:left="0"/>
        <w:jc w:val="both"/>
      </w:pPr>
      <w:r>
        <w:rPr>
          <w:rFonts w:ascii="Times New Roman"/>
          <w:b w:val="false"/>
          <w:i w:val="false"/>
          <w:color w:val="000000"/>
          <w:sz w:val="28"/>
        </w:rPr>
        <w:t>
      коммерциялық емес ұйым;</w:t>
      </w:r>
    </w:p>
    <w:p>
      <w:pPr>
        <w:spacing w:after="0"/>
        <w:ind w:left="0"/>
        <w:jc w:val="both"/>
      </w:pPr>
      <w:r>
        <w:rPr>
          <w:rFonts w:ascii="Times New Roman"/>
          <w:b w:val="false"/>
          <w:i w:val="false"/>
          <w:color w:val="000000"/>
          <w:sz w:val="28"/>
        </w:rPr>
        <w:t>
      2) клиент (оның өкілі) не бенефициарлық меншік иесі не клиенттің контрагенті болған жағдайда:</w:t>
      </w:r>
    </w:p>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16404 тіркелген "Салық салуда жеңілдігі бар мемлекеттердің тізбесін бекіту туралы"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(бұдан әрі –Бұйрық) бекітілген Салық салуда жеңілдігі бар мемлекеттердің тізбесіне кіретін мемлекетте (аумақта) тіркелген операциялар немесе қызметін жүзеге асырады;</w:t>
      </w:r>
    </w:p>
    <w:p>
      <w:pPr>
        <w:spacing w:after="0"/>
        <w:ind w:left="0"/>
        <w:jc w:val="both"/>
      </w:pPr>
      <w:r>
        <w:rPr>
          <w:rFonts w:ascii="Times New Roman"/>
          <w:b w:val="false"/>
          <w:i w:val="false"/>
          <w:color w:val="000000"/>
          <w:sz w:val="28"/>
        </w:rPr>
        <w:t xml:space="preserve">
      террористік іс-әрекетке қатысы бар адамдардың тізіміне (бұдан әрі – Тізім) және (немесе) КЖ/ТҚҚ туралы Заңның </w:t>
      </w:r>
      <w:r>
        <w:rPr>
          <w:rFonts w:ascii="Times New Roman"/>
          <w:b w:val="false"/>
          <w:i w:val="false"/>
          <w:color w:val="000000"/>
          <w:sz w:val="28"/>
        </w:rPr>
        <w:t>12</w:t>
      </w:r>
      <w:r>
        <w:rPr>
          <w:rFonts w:ascii="Times New Roman"/>
          <w:b w:val="false"/>
          <w:i w:val="false"/>
          <w:color w:val="000000"/>
          <w:sz w:val="28"/>
        </w:rPr>
        <w:t xml:space="preserve"> және 12-1-баптарында көзделген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w:t>
      </w:r>
    </w:p>
    <w:p>
      <w:pPr>
        <w:spacing w:after="0"/>
        <w:ind w:left="0"/>
        <w:jc w:val="both"/>
      </w:pPr>
      <w:r>
        <w:rPr>
          <w:rFonts w:ascii="Times New Roman"/>
          <w:b w:val="false"/>
          <w:i w:val="false"/>
          <w:color w:val="000000"/>
          <w:sz w:val="28"/>
        </w:rPr>
        <w:t>
      3) клиент (оның өкілі) бенефициарлық меншік иесі:</w:t>
      </w:r>
    </w:p>
    <w:p>
      <w:pPr>
        <w:spacing w:after="0"/>
        <w:ind w:left="0"/>
        <w:jc w:val="both"/>
      </w:pPr>
      <w:r>
        <w:rPr>
          <w:rFonts w:ascii="Times New Roman"/>
          <w:b w:val="false"/>
          <w:i w:val="false"/>
          <w:color w:val="000000"/>
          <w:sz w:val="28"/>
        </w:rPr>
        <w:t>
      нотариаттық іс-әрекеттерді тездетуді талап етеді;</w:t>
      </w:r>
    </w:p>
    <w:p>
      <w:pPr>
        <w:spacing w:after="0"/>
        <w:ind w:left="0"/>
        <w:jc w:val="both"/>
      </w:pPr>
      <w:r>
        <w:rPr>
          <w:rFonts w:ascii="Times New Roman"/>
          <w:b w:val="false"/>
          <w:i w:val="false"/>
          <w:color w:val="000000"/>
          <w:sz w:val="28"/>
        </w:rPr>
        <w:t>
      пайдалану субъектілердің әдеттегі тәжірибесінен ерекшеленетін стандартты емес немесе ерекше күрделі есептеу схемаларына талап етеді;</w:t>
      </w:r>
    </w:p>
    <w:p>
      <w:pPr>
        <w:spacing w:after="0"/>
        <w:ind w:left="0"/>
        <w:jc w:val="both"/>
      </w:pPr>
      <w:r>
        <w:rPr>
          <w:rFonts w:ascii="Times New Roman"/>
          <w:b w:val="false"/>
          <w:i w:val="false"/>
          <w:color w:val="000000"/>
          <w:sz w:val="28"/>
        </w:rPr>
        <w:t>
      қаржы мониторингі рәсімдерінен жалтаруға бағытталған іс-әрекеттер жасайды;</w:t>
      </w:r>
    </w:p>
    <w:p>
      <w:pPr>
        <w:spacing w:after="0"/>
        <w:ind w:left="0"/>
        <w:jc w:val="both"/>
      </w:pPr>
      <w:r>
        <w:rPr>
          <w:rFonts w:ascii="Times New Roman"/>
          <w:b w:val="false"/>
          <w:i w:val="false"/>
          <w:color w:val="000000"/>
          <w:sz w:val="28"/>
        </w:rPr>
        <w:t>
      операциялар бойынша бұрын күдікті деп танылған;</w:t>
      </w:r>
    </w:p>
    <w:p>
      <w:pPr>
        <w:spacing w:after="0"/>
        <w:ind w:left="0"/>
        <w:jc w:val="both"/>
      </w:pPr>
      <w:r>
        <w:rPr>
          <w:rFonts w:ascii="Times New Roman"/>
          <w:b w:val="false"/>
          <w:i w:val="false"/>
          <w:color w:val="000000"/>
          <w:sz w:val="28"/>
        </w:rPr>
        <w:t>
      4) бұл жағдайда:</w:t>
      </w:r>
    </w:p>
    <w:p>
      <w:pPr>
        <w:spacing w:after="0"/>
        <w:ind w:left="0"/>
        <w:jc w:val="both"/>
      </w:pPr>
      <w:r>
        <w:rPr>
          <w:rFonts w:ascii="Times New Roman"/>
          <w:b w:val="false"/>
          <w:i w:val="false"/>
          <w:color w:val="000000"/>
          <w:sz w:val="28"/>
        </w:rPr>
        <w:t>
      мемлекеттік тіркеу кезінде мәлімделген клиенттің орналасқан жері оның басқару органдарының нақты қызмет орнымен сәйкес келмейді;</w:t>
      </w:r>
    </w:p>
    <w:p>
      <w:pPr>
        <w:spacing w:after="0"/>
        <w:ind w:left="0"/>
        <w:jc w:val="both"/>
      </w:pPr>
      <w:r>
        <w:rPr>
          <w:rFonts w:ascii="Times New Roman"/>
          <w:b w:val="false"/>
          <w:i w:val="false"/>
          <w:color w:val="000000"/>
          <w:sz w:val="28"/>
        </w:rPr>
        <w:t>
      клиентпен іскерлік қарым-қатынас ерекше жағдайларда жүзеге асырылады (мысалы, Субъект пен клиент арасындағы тым үлкен түсініксіз географиялық қашықтық);</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w:t>
      </w:r>
    </w:p>
    <w:p>
      <w:pPr>
        <w:spacing w:after="0"/>
        <w:ind w:left="0"/>
        <w:jc w:val="both"/>
      </w:pPr>
      <w:r>
        <w:rPr>
          <w:rFonts w:ascii="Times New Roman"/>
          <w:b w:val="false"/>
          <w:i w:val="false"/>
          <w:color w:val="000000"/>
          <w:sz w:val="28"/>
        </w:rPr>
        <w:t>
      Субъектілерде клиент ұсынған мәліметтер кезінде қиындықтар туындайды;</w:t>
      </w:r>
    </w:p>
    <w:p>
      <w:pPr>
        <w:spacing w:after="0"/>
        <w:ind w:left="0"/>
        <w:jc w:val="both"/>
      </w:pPr>
      <w:r>
        <w:rPr>
          <w:rFonts w:ascii="Times New Roman"/>
          <w:b w:val="false"/>
          <w:i w:val="false"/>
          <w:color w:val="000000"/>
          <w:sz w:val="28"/>
        </w:rPr>
        <w:t>
      5) мемлекеттерден (аумақтардан) клиенттермен іскерлік қатынастар және мәмілелер):</w:t>
      </w:r>
    </w:p>
    <w:p>
      <w:pPr>
        <w:spacing w:after="0"/>
        <w:ind w:left="0"/>
        <w:jc w:val="both"/>
      </w:pPr>
      <w:r>
        <w:rPr>
          <w:rFonts w:ascii="Times New Roman"/>
          <w:b w:val="false"/>
          <w:i w:val="false"/>
          <w:color w:val="000000"/>
          <w:sz w:val="28"/>
        </w:rPr>
        <w:t>
      ФАТФ ұсынымдарын орындамайтын және (немесе) жеткіліксіз орындамайтындар;</w:t>
      </w:r>
    </w:p>
    <w:p>
      <w:pPr>
        <w:spacing w:after="0"/>
        <w:ind w:left="0"/>
        <w:jc w:val="both"/>
      </w:pPr>
      <w:r>
        <w:rPr>
          <w:rFonts w:ascii="Times New Roman"/>
          <w:b w:val="false"/>
          <w:i w:val="false"/>
          <w:color w:val="000000"/>
          <w:sz w:val="28"/>
        </w:rPr>
        <w:t>
      сыбайлас жемқорлық немесе өзге де қылмыстық іс-әрекет деңгейі жоғары;</w:t>
      </w:r>
    </w:p>
    <w:p>
      <w:pPr>
        <w:spacing w:after="0"/>
        <w:ind w:left="0"/>
        <w:jc w:val="both"/>
      </w:pPr>
      <w:r>
        <w:rPr>
          <w:rFonts w:ascii="Times New Roman"/>
          <w:b w:val="false"/>
          <w:i w:val="false"/>
          <w:color w:val="000000"/>
          <w:sz w:val="28"/>
        </w:rPr>
        <w:t>
      қолданатын санкцияларға, эмбарго және Біріккен Ұлттар Ұйымы (бұдан әрі – БҰҰ) қолданатын ұқсас шараларға ұшыраған;</w:t>
      </w:r>
    </w:p>
    <w:p>
      <w:pPr>
        <w:spacing w:after="0"/>
        <w:ind w:left="0"/>
        <w:jc w:val="both"/>
      </w:pPr>
      <w:r>
        <w:rPr>
          <w:rFonts w:ascii="Times New Roman"/>
          <w:b w:val="false"/>
          <w:i w:val="false"/>
          <w:color w:val="000000"/>
          <w:sz w:val="28"/>
        </w:rPr>
        <w:t>
      террористік (экстремистік) қызметті қаржыландыруды немесе қолдауды ұсынатын және белгіленген террористік (экстремистік) ұйымдары бар ұйымдар болып табылады.</w:t>
      </w:r>
    </w:p>
    <w:p>
      <w:pPr>
        <w:spacing w:after="0"/>
        <w:ind w:left="0"/>
        <w:jc w:val="both"/>
      </w:pPr>
      <w:r>
        <w:rPr>
          <w:rFonts w:ascii="Times New Roman"/>
          <w:b w:val="false"/>
          <w:i w:val="false"/>
          <w:color w:val="000000"/>
          <w:sz w:val="28"/>
        </w:rPr>
        <w:t>
      БҰҰ деректері бойынша осындай мемлекеттердің (аумақтардың) және халықаралық ұйымдардың тізбелеріне сілтемелер уәкілетті органның интернет-ресурсында орналастырылады;</w:t>
      </w:r>
    </w:p>
    <w:p>
      <w:pPr>
        <w:spacing w:after="0"/>
        <w:ind w:left="0"/>
        <w:jc w:val="both"/>
      </w:pPr>
      <w:r>
        <w:rPr>
          <w:rFonts w:ascii="Times New Roman"/>
          <w:b w:val="false"/>
          <w:i w:val="false"/>
          <w:color w:val="000000"/>
          <w:sz w:val="28"/>
        </w:rPr>
        <w:t>
      6) ақшамен және (немесе) өзге мүлікпен жасалатын операциялар:</w:t>
      </w:r>
    </w:p>
    <w:p>
      <w:pPr>
        <w:spacing w:after="0"/>
        <w:ind w:left="0"/>
        <w:jc w:val="both"/>
      </w:pPr>
      <w:r>
        <w:rPr>
          <w:rFonts w:ascii="Times New Roman"/>
          <w:b w:val="false"/>
          <w:i w:val="false"/>
          <w:color w:val="000000"/>
          <w:sz w:val="28"/>
        </w:rPr>
        <w:t>
      тараптардың жеке қатысуынсыз жүзеге асырылатын;</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жасалатын;</w:t>
      </w:r>
    </w:p>
    <w:p>
      <w:pPr>
        <w:spacing w:after="0"/>
        <w:ind w:left="0"/>
        <w:jc w:val="both"/>
      </w:pPr>
      <w:r>
        <w:rPr>
          <w:rFonts w:ascii="Times New Roman"/>
          <w:b w:val="false"/>
          <w:i w:val="false"/>
          <w:color w:val="000000"/>
          <w:sz w:val="28"/>
        </w:rPr>
        <w:t>
      қолма-қол есеп айырысуларды қоса алғанда, анонимдік банктік шоттармен немесе анонимдік, ойдан шығарылған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немесе көрінетін құқықтық мақсаты жоқ;</w:t>
      </w:r>
    </w:p>
    <w:p>
      <w:pPr>
        <w:spacing w:after="0"/>
        <w:ind w:left="0"/>
        <w:jc w:val="both"/>
      </w:pPr>
      <w:r>
        <w:rPr>
          <w:rFonts w:ascii="Times New Roman"/>
          <w:b w:val="false"/>
          <w:i w:val="false"/>
          <w:color w:val="000000"/>
          <w:sz w:val="28"/>
        </w:rPr>
        <w:t>
      клиент оған тән емес жиілікпен немесе осы клиент үшін ерекше ірі сомаға жасайтын.</w:t>
      </w:r>
    </w:p>
    <w:p>
      <w:pPr>
        <w:spacing w:after="0"/>
        <w:ind w:left="0"/>
        <w:jc w:val="both"/>
      </w:pPr>
      <w:r>
        <w:rPr>
          <w:rFonts w:ascii="Times New Roman"/>
          <w:b w:val="false"/>
          <w:i w:val="false"/>
          <w:color w:val="000000"/>
          <w:sz w:val="28"/>
        </w:rPr>
        <w:t>
      Субъектілердің тәуекелдің қосымша факторларын қосуына жол беріледі.</w:t>
      </w:r>
    </w:p>
    <w:bookmarkStart w:name="z28" w:id="26"/>
    <w:p>
      <w:pPr>
        <w:spacing w:after="0"/>
        <w:ind w:left="0"/>
        <w:jc w:val="both"/>
      </w:pPr>
      <w:r>
        <w:rPr>
          <w:rFonts w:ascii="Times New Roman"/>
          <w:b w:val="false"/>
          <w:i w:val="false"/>
          <w:color w:val="000000"/>
          <w:sz w:val="28"/>
        </w:rPr>
        <w:t>
      15. КЖ/ТҚ тәуекелдерін басқару бағдарламасын іске асыру шеңберінде Субъектілер осы Талаптардың 14-тармағында көрсетілген тәуекел санаттары мен факторларын, сондай-ақ Субъектілер белгілейтін тәуекелдердің өзге де санаттарын ескере отырып, клиенттерді жіктеу бойынша шаралар қабылдайды.</w:t>
      </w:r>
    </w:p>
    <w:bookmarkEnd w:id="26"/>
    <w:p>
      <w:pPr>
        <w:spacing w:after="0"/>
        <w:ind w:left="0"/>
        <w:jc w:val="both"/>
      </w:pPr>
      <w:r>
        <w:rPr>
          <w:rFonts w:ascii="Times New Roman"/>
          <w:b w:val="false"/>
          <w:i w:val="false"/>
          <w:color w:val="000000"/>
          <w:sz w:val="28"/>
        </w:rPr>
        <w:t>
      Клиент тәуекелінің деңгейін Субъектіде бар клиент (клиенттер) туралы мәліметтер мен ақпаратты талдау нәтижелері бойынша Субъектілер белгілейді және кем дегенде екі деңгейден тұратын тәуекелдің деңгейін анықтау шкаласы бойынша бағаланады.</w:t>
      </w:r>
    </w:p>
    <w:p>
      <w:pPr>
        <w:spacing w:after="0"/>
        <w:ind w:left="0"/>
        <w:jc w:val="both"/>
      </w:pPr>
      <w:r>
        <w:rPr>
          <w:rFonts w:ascii="Times New Roman"/>
          <w:b w:val="false"/>
          <w:i w:val="false"/>
          <w:color w:val="000000"/>
          <w:sz w:val="28"/>
        </w:rPr>
        <w:t>
      Осы Талаптардың 14-тармағында көрсетілген тәуекелдер санаттары мен факторларын пайдалана отырып тәуекелді бағалау операциялар (Іскерлік қатынастар) мониторингі нәтижелерінің негізінде клиенттерге қатысты жүргізіледі.</w:t>
      </w:r>
    </w:p>
    <w:p>
      <w:pPr>
        <w:spacing w:after="0"/>
        <w:ind w:left="0"/>
        <w:jc w:val="both"/>
      </w:pPr>
      <w:r>
        <w:rPr>
          <w:rFonts w:ascii="Times New Roman"/>
          <w:b w:val="false"/>
          <w:i w:val="false"/>
          <w:color w:val="000000"/>
          <w:sz w:val="28"/>
        </w:rPr>
        <w:t>
      Клиент тәуекелінің деңгейін қайта қарауды Субъектілер клиент (клиенттер тобы) туралы мәліметтердің және операциялар (Іскерлік қатынастар) мониторингінің нәтижелеріне қарай жүзеге асырады.</w:t>
      </w:r>
    </w:p>
    <w:bookmarkStart w:name="z29" w:id="27"/>
    <w:p>
      <w:pPr>
        <w:spacing w:after="0"/>
        <w:ind w:left="0"/>
        <w:jc w:val="left"/>
      </w:pPr>
      <w:r>
        <w:rPr>
          <w:rFonts w:ascii="Times New Roman"/>
          <w:b/>
          <w:i w:val="false"/>
          <w:color w:val="000000"/>
        </w:rPr>
        <w:t xml:space="preserve"> 4-тарау. Клиенттерді сәйкестендіру бағдарламасы</w:t>
      </w:r>
    </w:p>
    <w:bookmarkEnd w:id="27"/>
    <w:bookmarkStart w:name="z30" w:id="28"/>
    <w:p>
      <w:pPr>
        <w:spacing w:after="0"/>
        <w:ind w:left="0"/>
        <w:jc w:val="both"/>
      </w:pPr>
      <w:r>
        <w:rPr>
          <w:rFonts w:ascii="Times New Roman"/>
          <w:b w:val="false"/>
          <w:i w:val="false"/>
          <w:color w:val="000000"/>
          <w:sz w:val="28"/>
        </w:rPr>
        <w:t>
      16. Клиентті сәйкестендіру бағдарламасы Субъектілердің клиент жасаған операцияларды қаржыландыру көзі туралы мәліметтерді қоса алғанда, клиенттер (оның өкілдері) және бенефициарлық меншік иелері туралы бұрын алынған мәліметтерді анықтау, жаңарту жөніндегі іс-шараларды жүргізуінен тұрады және қамтиды:</w:t>
      </w:r>
    </w:p>
    <w:bookmarkEnd w:id="28"/>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иелерін тиісінше тексеру жөніндегі шараларды сақтау;</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тармақшасына сәйкес клиент (оның өкілі) және бенефициарлық меншік иесі туралы мәліметтердің дұрыстығын тексеру;</w:t>
      </w:r>
    </w:p>
    <w:p>
      <w:pPr>
        <w:spacing w:after="0"/>
        <w:ind w:left="0"/>
        <w:jc w:val="both"/>
      </w:pPr>
      <w:r>
        <w:rPr>
          <w:rFonts w:ascii="Times New Roman"/>
          <w:b w:val="false"/>
          <w:i w:val="false"/>
          <w:color w:val="000000"/>
          <w:sz w:val="28"/>
        </w:rPr>
        <w:t>
      3) клиентті (оның өкілін) және бенефициарлық меншік иесінің Тізімде және Тізбеде болуын тексеру;</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клиенттің шетелдік жария лауазымды адамға, оның отбасы мүшелеріне және жақын туыстары қатарына жататындығын және (немесе) қатыстылығын тексеру;</w:t>
      </w:r>
    </w:p>
    <w:p>
      <w:pPr>
        <w:spacing w:after="0"/>
        <w:ind w:left="0"/>
        <w:jc w:val="both"/>
      </w:pPr>
      <w:r>
        <w:rPr>
          <w:rFonts w:ascii="Times New Roman"/>
          <w:b w:val="false"/>
          <w:i w:val="false"/>
          <w:color w:val="000000"/>
          <w:sz w:val="28"/>
        </w:rPr>
        <w:t>
      5) тиісінше тіркелген, тұрғылықты жері немесе орналасқан жері бар клиенттерді анықтау:</w:t>
      </w:r>
    </w:p>
    <w:p>
      <w:pPr>
        <w:spacing w:after="0"/>
        <w:ind w:left="0"/>
        <w:jc w:val="both"/>
      </w:pPr>
      <w:r>
        <w:rPr>
          <w:rFonts w:ascii="Times New Roman"/>
          <w:b w:val="false"/>
          <w:i w:val="false"/>
          <w:color w:val="000000"/>
          <w:sz w:val="28"/>
        </w:rPr>
        <w:t xml:space="preserve">
      ФАТФ ұсынымдарын орындамайтын және (немесе) жеткіліксіз орындайтын не КЖ/ТҚҚ туралы Заңның </w:t>
      </w:r>
      <w:r>
        <w:rPr>
          <w:rFonts w:ascii="Times New Roman"/>
          <w:b w:val="false"/>
          <w:i w:val="false"/>
          <w:color w:val="000000"/>
          <w:sz w:val="28"/>
        </w:rPr>
        <w:t>4-бабы</w:t>
      </w:r>
      <w:r>
        <w:rPr>
          <w:rFonts w:ascii="Times New Roman"/>
          <w:b w:val="false"/>
          <w:i w:val="false"/>
          <w:color w:val="000000"/>
          <w:sz w:val="28"/>
        </w:rPr>
        <w:t xml:space="preserve"> 4-тармағының 4) тармақшасына сәйкес көрсетілген мемлекетте (көрсетілген аумақта) тіркелген банктегі шотты пайдаланатын мемлекетте (аумақта);</w:t>
      </w:r>
    </w:p>
    <w:p>
      <w:pPr>
        <w:spacing w:after="0"/>
        <w:ind w:left="0"/>
        <w:jc w:val="both"/>
      </w:pPr>
      <w:r>
        <w:rPr>
          <w:rFonts w:ascii="Times New Roman"/>
          <w:b w:val="false"/>
          <w:i w:val="false"/>
          <w:color w:val="000000"/>
          <w:sz w:val="28"/>
        </w:rPr>
        <w:t>
      Бұйрықпен бекітілген салық салуда жеңілдігі бар мемлекетте;</w:t>
      </w:r>
    </w:p>
    <w:p>
      <w:pPr>
        <w:spacing w:after="0"/>
        <w:ind w:left="0"/>
        <w:jc w:val="both"/>
      </w:pPr>
      <w:r>
        <w:rPr>
          <w:rFonts w:ascii="Times New Roman"/>
          <w:b w:val="false"/>
          <w:i w:val="false"/>
          <w:color w:val="000000"/>
          <w:sz w:val="28"/>
        </w:rPr>
        <w:t>
      6) іскерлік қатынастардың болжамды мақсаты мен сипатын белгілеу;</w:t>
      </w:r>
    </w:p>
    <w:p>
      <w:pPr>
        <w:spacing w:after="0"/>
        <w:ind w:left="0"/>
        <w:jc w:val="both"/>
      </w:pPr>
      <w:r>
        <w:rPr>
          <w:rFonts w:ascii="Times New Roman"/>
          <w:b w:val="false"/>
          <w:i w:val="false"/>
          <w:color w:val="000000"/>
          <w:sz w:val="28"/>
        </w:rPr>
        <w:t>
      7) берілген тәуекел деңгейіне байланысты клиентке тәуекелдерді басқару бағдарламасына сәйкес Клиентті тиісінше тексеру бойынша шараларды қолдану;</w:t>
      </w:r>
    </w:p>
    <w:p>
      <w:pPr>
        <w:spacing w:after="0"/>
        <w:ind w:left="0"/>
        <w:jc w:val="both"/>
      </w:pPr>
      <w:r>
        <w:rPr>
          <w:rFonts w:ascii="Times New Roman"/>
          <w:b w:val="false"/>
          <w:i w:val="false"/>
          <w:color w:val="000000"/>
          <w:sz w:val="28"/>
        </w:rPr>
        <w:t>
      8) клиент (оның өкілі) және бенефициарлық меншік иесі туралы сәйкестендіру мәліметтерінің өзгеруіне қарай клиенттерді сәйкестендіру нәтижесінде алынған мәліметтерді, бірақ жылына кемінде бір рет жаңартуға;;</w:t>
      </w:r>
    </w:p>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нәтижесінде алынған мәліметтерді тіркеу мақсатында Субъект ресімдейтін клиенттің сауалнамасының (досьесінің) нысанына, мазмұнына және толтыру тәртібіне қойылатын талаптар, сауалнаманы (досьені) ресімдеудің бастапқы күнін көрсете отырып);</w:t>
      </w:r>
    </w:p>
    <w:p>
      <w:pPr>
        <w:spacing w:after="0"/>
        <w:ind w:left="0"/>
        <w:jc w:val="both"/>
      </w:pPr>
      <w:r>
        <w:rPr>
          <w:rFonts w:ascii="Times New Roman"/>
          <w:b w:val="false"/>
          <w:i w:val="false"/>
          <w:color w:val="000000"/>
          <w:sz w:val="28"/>
        </w:rPr>
        <w:t>
      10) мәліметтерді жаңарту мерзімділігін көрсете отырып, сауалнамада (дерекнамада) қамтылған мәліметтерді жаңарту тәртібі;</w:t>
      </w:r>
    </w:p>
    <w:p>
      <w:pPr>
        <w:spacing w:after="0"/>
        <w:ind w:left="0"/>
        <w:jc w:val="both"/>
      </w:pPr>
      <w:r>
        <w:rPr>
          <w:rFonts w:ascii="Times New Roman"/>
          <w:b w:val="false"/>
          <w:i w:val="false"/>
          <w:color w:val="000000"/>
          <w:sz w:val="28"/>
        </w:rPr>
        <w:t>
      11) КЖ/ТҚ заңдастыру мақсатында клиенттің операциялар жасау тәуекелінің дәрежесін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12) клиенттен сұратылатын құжаттар мен ақпарат тізбесін, Субъектілердің жеке тұлғаны бенефициарлық меншік иесі деп тану туралы шешім қабылдау тәртібін қоса алғанда, клиенттің бенефициарлық меншік иесін Субъектілердің анықтауға және сәйкестендіруге бағытталған шаралар (рәсімдер) тізбесі.</w:t>
      </w:r>
    </w:p>
    <w:p>
      <w:pPr>
        <w:spacing w:after="0"/>
        <w:ind w:left="0"/>
        <w:jc w:val="both"/>
      </w:pPr>
      <w:r>
        <w:rPr>
          <w:rFonts w:ascii="Times New Roman"/>
          <w:b w:val="false"/>
          <w:i w:val="false"/>
          <w:color w:val="000000"/>
          <w:sz w:val="28"/>
        </w:rPr>
        <w:t xml:space="preserve">
      Клиенттің тәуекел деңгейіне байланысты Субъект жүргізетін іс-шаралар дәрежесі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клиенттерді тиісінше тексерудің оңайлатылған не күшейтілген шараларын қолданудан көрінеді.</w:t>
      </w:r>
    </w:p>
    <w:p>
      <w:pPr>
        <w:spacing w:after="0"/>
        <w:ind w:left="0"/>
        <w:jc w:val="both"/>
      </w:pPr>
      <w:r>
        <w:rPr>
          <w:rFonts w:ascii="Times New Roman"/>
          <w:b w:val="false"/>
          <w:i w:val="false"/>
          <w:color w:val="000000"/>
          <w:sz w:val="28"/>
        </w:rPr>
        <w:t>
      КЖ/ТҚ жария ету тәуекелінің деңгейі жоғары клиент (оның өкілі) және бенефициарлық меншік иесі туралы мәліметтерді жаңарту жарты жылда кемінде бір рет жүзеге асырылады.</w:t>
      </w:r>
    </w:p>
    <w:p>
      <w:pPr>
        <w:spacing w:after="0"/>
        <w:ind w:left="0"/>
        <w:jc w:val="both"/>
      </w:pPr>
      <w:r>
        <w:rPr>
          <w:rFonts w:ascii="Times New Roman"/>
          <w:b w:val="false"/>
          <w:i w:val="false"/>
          <w:color w:val="000000"/>
          <w:sz w:val="28"/>
        </w:rPr>
        <w:t>
      Жаңарту мерзімділігі және (немесе) клиент (оның өкілі) және бенефициарлық меншік иесі туралы қосымша мәліметтер алу қажеттілігі клиенттің (клиенттер тобының) тәуекелінің деңгейін және (немесе) клиент пайдаланатын Субъектілер қызметтерінің (өнімдерінің) КЖ/ТҚ заңдастыру тәуекелдеріне ұшырау дәрежесін ескере отырып белгіленеді.</w:t>
      </w:r>
    </w:p>
    <w:p>
      <w:pPr>
        <w:spacing w:after="0"/>
        <w:ind w:left="0"/>
        <w:jc w:val="both"/>
      </w:pPr>
      <w:r>
        <w:rPr>
          <w:rFonts w:ascii="Times New Roman"/>
          <w:b w:val="false"/>
          <w:i w:val="false"/>
          <w:color w:val="000000"/>
          <w:sz w:val="28"/>
        </w:rPr>
        <w:t xml:space="preserve">
      Клиентке іскерлік қатынастар орнатудан және ақшамен және (немесе) өзге мүлікпен операциялар жүргізуден бас тартқан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3-тармағының 1), 2), 2-1), 4) және 6) тармақшаларында көзделген шараларды қолдану мүмкін болмаған жағдайда, сондай-ақ ақшамен және (немесе) өзге мүлікпен операцияларға тыйым салу жөнінде шаралар қабылдау үшін Субъектілер уәкілетті органға ҚМ-1 нысаны бойынша мұндай бас тарту фактісі туралы хабарлама жібереді.</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тармақшасында көзделген шараларды қабылдау мүмкін болмаған жағдайда, сондай-ақ клиент жасайтын операцияларды зерделеу процесінде клиент іскерлік қатынастарды КЖ/ТҚ мақсатында пайдаланатыны туралы күдік туындаған жағдайда Субъектілер клиентпен іскерлік қатынастарды тоқтатады. Егер іскерлік қатынастар жоғарыда аталған негіздер бойынша тоқтатылса, Субъектілер уәкілетті органға ҚМ-1 нысаны бойынша хабарлама жібереді.</w:t>
      </w:r>
    </w:p>
    <w:bookmarkStart w:name="z31" w:id="29"/>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зерделеу бағдарламасы</w:t>
      </w:r>
    </w:p>
    <w:bookmarkEnd w:id="29"/>
    <w:bookmarkStart w:name="z32" w:id="30"/>
    <w:p>
      <w:pPr>
        <w:spacing w:after="0"/>
        <w:ind w:left="0"/>
        <w:jc w:val="both"/>
      </w:pPr>
      <w:r>
        <w:rPr>
          <w:rFonts w:ascii="Times New Roman"/>
          <w:b w:val="false"/>
          <w:i w:val="false"/>
          <w:color w:val="000000"/>
          <w:sz w:val="28"/>
        </w:rPr>
        <w:t>
      17. КЖ/ТҚҚ туралы Заңның клиентті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операцияларына мониторинг жүргізу және зерделеу бағдарламасын әзірлейді.</w:t>
      </w:r>
    </w:p>
    <w:bookmarkEnd w:id="30"/>
    <w:bookmarkStart w:name="z33" w:id="31"/>
    <w:p>
      <w:pPr>
        <w:spacing w:after="0"/>
        <w:ind w:left="0"/>
        <w:jc w:val="both"/>
      </w:pPr>
      <w:r>
        <w:rPr>
          <w:rFonts w:ascii="Times New Roman"/>
          <w:b w:val="false"/>
          <w:i w:val="false"/>
          <w:color w:val="000000"/>
          <w:sz w:val="28"/>
        </w:rPr>
        <w:t>
      18. Клиенттердің операцияларына мониторинг жүргізу және зерттеу бағдарламасы кіреді, бірақ шектелмейді:</w:t>
      </w:r>
    </w:p>
    <w:bookmarkEnd w:id="31"/>
    <w:p>
      <w:pPr>
        <w:spacing w:after="0"/>
        <w:ind w:left="0"/>
        <w:jc w:val="both"/>
      </w:pPr>
      <w:r>
        <w:rPr>
          <w:rFonts w:ascii="Times New Roman"/>
          <w:b w:val="false"/>
          <w:i w:val="false"/>
          <w:color w:val="000000"/>
          <w:sz w:val="28"/>
        </w:rPr>
        <w:t xml:space="preserve">
      1) ҚЖ/ТҚҚ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күдікті операцияларды айқындау белгілері негізінде жасалған, сондай-ақ Субъектілер дербес әзірлеген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 заңдастыру типологияларына, әдістеріне, схемаларына және тәсілдеріне сәйкес келетін сипаттамалары бар клиенттің операциясын анықтау рәсімі;</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клиентке және оның операцияларына қатысты Субъектілер қабылдайтын шараларды қабылдау тәртібі және сипаттамасы.</w:t>
      </w:r>
    </w:p>
    <w:bookmarkStart w:name="z34" w:id="32"/>
    <w:p>
      <w:pPr>
        <w:spacing w:after="0"/>
        <w:ind w:left="0"/>
        <w:jc w:val="both"/>
      </w:pPr>
      <w:r>
        <w:rPr>
          <w:rFonts w:ascii="Times New Roman"/>
          <w:b w:val="false"/>
          <w:i w:val="false"/>
          <w:color w:val="000000"/>
          <w:sz w:val="28"/>
        </w:rPr>
        <w:t>
      19. Клиенттер операцияларын мониторингілеу және зерделеу бағдарламасы шеңберінде Субъектілер КЖ/ТҚ заңдастыру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32"/>
    <w:p>
      <w:pPr>
        <w:spacing w:after="0"/>
        <w:ind w:left="0"/>
        <w:jc w:val="both"/>
      </w:pPr>
      <w:r>
        <w:rPr>
          <w:rFonts w:ascii="Times New Roman"/>
          <w:b w:val="false"/>
          <w:i w:val="false"/>
          <w:color w:val="000000"/>
          <w:sz w:val="28"/>
        </w:rPr>
        <w:t>
      Клиенттердің операцияларына мониторинг жүргізу және зерттеу нәтижелері Субъектілер қызметтерінің КЖ/ТҚ заңдастыру тәуекелдеріне ұшырау дәрежесін жыл сайын бағалау үшін, сондай-ақ клиенттер тәуекелдерінің деңгейлерін қайта қарау үшін пайдаланылады.</w:t>
      </w:r>
    </w:p>
    <w:p>
      <w:pPr>
        <w:spacing w:after="0"/>
        <w:ind w:left="0"/>
        <w:jc w:val="both"/>
      </w:pPr>
      <w:r>
        <w:rPr>
          <w:rFonts w:ascii="Times New Roman"/>
          <w:b w:val="false"/>
          <w:i w:val="false"/>
          <w:color w:val="000000"/>
          <w:sz w:val="28"/>
        </w:rPr>
        <w:t>
      Клиент операцияларының мониторингі және зерделеу бағдарламасын іске асыру шеңберінде алынған мәліметтер клиенттің досьесіне енгізіледі және (немесе) клиентпен іскерлік қатынастардың бүкіл кезеңі бойы Субъектілерде операция жасалғаннан кейін кемінде бес жыл сақталады.</w:t>
      </w:r>
    </w:p>
    <w:bookmarkStart w:name="z35" w:id="33"/>
    <w:p>
      <w:pPr>
        <w:spacing w:after="0"/>
        <w:ind w:left="0"/>
        <w:jc w:val="both"/>
      </w:pPr>
      <w:r>
        <w:rPr>
          <w:rFonts w:ascii="Times New Roman"/>
          <w:b w:val="false"/>
          <w:i w:val="false"/>
          <w:color w:val="000000"/>
          <w:sz w:val="28"/>
        </w:rPr>
        <w:t xml:space="preserve">
      20. Клиент операцияларын зерделеу жиілігін Субъектілер клиенттің тәуекелінің деңгейін және (немесе) клиент пайдаланатын Субъектілер қызметінің КЖ/ТҚ заңдастыру тәуекелдеріне, клиенттің қаржы мониторингіне жататын операцияларды (операцияларды) жасауына (жасауға талпынуына),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 тармағына сәйкес уәкілетті орган бекітетін немесе Субъектілер дербес әзірлеген КЖ/ТҚ заңдастыру типологияларын, схемалары мен тәсілдерін ескере отырып айқындайды.</w:t>
      </w:r>
    </w:p>
    <w:bookmarkEnd w:id="33"/>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белгілі бір уақыт кезеңінде клиент жүргізетін (жүргізген) операцияларды зерделейді.</w:t>
      </w:r>
    </w:p>
    <w:p>
      <w:pPr>
        <w:spacing w:after="0"/>
        <w:ind w:left="0"/>
        <w:jc w:val="both"/>
      </w:pPr>
      <w:r>
        <w:rPr>
          <w:rFonts w:ascii="Times New Roman"/>
          <w:b w:val="false"/>
          <w:i w:val="false"/>
          <w:color w:val="000000"/>
          <w:sz w:val="28"/>
        </w:rPr>
        <w:t>
      Клиенттің операциялары зерделенуге жатады:</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4-тармағында көрсетілген негіздер бойынша;</w:t>
      </w:r>
    </w:p>
    <w:p>
      <w:pPr>
        <w:spacing w:after="0"/>
        <w:ind w:left="0"/>
        <w:jc w:val="both"/>
      </w:pPr>
      <w:r>
        <w:rPr>
          <w:rFonts w:ascii="Times New Roman"/>
          <w:b w:val="false"/>
          <w:i w:val="false"/>
          <w:color w:val="000000"/>
          <w:sz w:val="28"/>
        </w:rPr>
        <w:t>
      егер олар күдікті операция белгілерінің сипаттамасына ие болса.</w:t>
      </w:r>
    </w:p>
    <w:bookmarkStart w:name="z36" w:id="34"/>
    <w:p>
      <w:pPr>
        <w:spacing w:after="0"/>
        <w:ind w:left="0"/>
        <w:jc w:val="both"/>
      </w:pPr>
      <w:r>
        <w:rPr>
          <w:rFonts w:ascii="Times New Roman"/>
          <w:b w:val="false"/>
          <w:i w:val="false"/>
          <w:color w:val="000000"/>
          <w:sz w:val="28"/>
        </w:rPr>
        <w:t>
      21. Клиенттің операциялары, егер осы Талаптардың 20-тармағында көрсетілген операцияларды зерделеу нәтижелері бойынша Субъектілерде клиенттің операциялары КЖ/ТҚ заңдастырумен байланысты деп пайымдауға негіз болған жағдайда күдікті деп танылады.</w:t>
      </w:r>
    </w:p>
    <w:bookmarkEnd w:id="34"/>
    <w:p>
      <w:pPr>
        <w:spacing w:after="0"/>
        <w:ind w:left="0"/>
        <w:jc w:val="both"/>
      </w:pPr>
      <w:r>
        <w:rPr>
          <w:rFonts w:ascii="Times New Roman"/>
          <w:b w:val="false"/>
          <w:i w:val="false"/>
          <w:color w:val="000000"/>
          <w:sz w:val="28"/>
        </w:rPr>
        <w:t>
      Субъектілер клиенттің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айырмашылық Субъектілердің ІБҚ-ға сәйкес клиенттің операциясын зерделеу жиілігін айқындайтын уақыт аралығынан аспауы тиіс.</w:t>
      </w:r>
    </w:p>
    <w:bookmarkStart w:name="z37" w:id="35"/>
    <w:p>
      <w:pPr>
        <w:spacing w:after="0"/>
        <w:ind w:left="0"/>
        <w:jc w:val="left"/>
      </w:pPr>
      <w:r>
        <w:rPr>
          <w:rFonts w:ascii="Times New Roman"/>
          <w:b/>
          <w:i w:val="false"/>
          <w:color w:val="000000"/>
        </w:rPr>
        <w:t xml:space="preserve"> 6-тарау. Қылмыстық жолмен алынған кірістерді заңдастыруға (жылыстатуға) және терроризмді қаржыландыруға қарсы іс-қимыл саласында қаржы мониторингі субъектілерін даярлау және оқыту бағдарламасы</w:t>
      </w:r>
    </w:p>
    <w:bookmarkEnd w:id="35"/>
    <w:bookmarkStart w:name="z38" w:id="36"/>
    <w:p>
      <w:pPr>
        <w:spacing w:after="0"/>
        <w:ind w:left="0"/>
        <w:jc w:val="both"/>
      </w:pPr>
      <w:r>
        <w:rPr>
          <w:rFonts w:ascii="Times New Roman"/>
          <w:b w:val="false"/>
          <w:i w:val="false"/>
          <w:color w:val="000000"/>
          <w:sz w:val="28"/>
        </w:rPr>
        <w:t xml:space="preserve">
      22. Қаржы мониторингі субъектілерін КЖ/ТҚҚ мәселелері бойынша даярлау және оқыту бағдарламасы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уәкілетті орган бекіткен Субъектілердің қызметкерлерін даярлау және оқыту жөніндегі талаптарға сәйкес әзірленеді.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