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d734" w14:textId="ddcd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"Қаржы-есеп айырысу орталығының жаңартылатын энергия көздерін пайдалану объектілері өндірген электр энергиясын орталықтандырылған сатып алуы және сатуы,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қағидаларын бекіту туралы" Қазақстан Республикасы Энергетика министрінің 2015 жылғы 2 наурыздағы № 164 бұйрығына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17 қыркүйектегі № 312 бұйрығы. Қазақстан Республикасының Әділет министрлігінде 2020 жылғы 22 қыркүйекте № 21240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"Қаржы-есеп айырысу орталығының жаңартылатын энергия көздерін пайдалану объектілері өндірген электр энергиясын орталықтандырылған сатып алуы және сатуы,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қағидаларын бекіту туралы" Қазақстан Республикасы Энергетика министрінің 2015 жылғы 2 наурыздағы № 164 (Нормативтік құқықтық актілерді мемлекеттік тіркеу тізілімінде № 10662 болып тіркелген, "Әділет" ақпараттық-құқықтық жүйесінде 2015 жылғы 18 тамызда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Қаржы-есеп айырысу орталығының жаңартылатын энергия көздерін пайдалану объектілері өндірген электр энергиясын орталықтандырылған сатып алуы және сатуы,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32-1-тармақпен толықтырылсын:</w:t>
      </w:r>
    </w:p>
    <w:bookmarkEnd w:id="3"/>
    <w:bookmarkStart w:name="z5" w:id="4"/>
    <w:p>
      <w:pPr>
        <w:spacing w:after="0"/>
        <w:ind w:left="0"/>
        <w:jc w:val="both"/>
      </w:pPr>
      <w:r>
        <w:rPr>
          <w:rFonts w:ascii="Times New Roman"/>
          <w:b w:val="false"/>
          <w:i w:val="false"/>
          <w:color w:val="000000"/>
          <w:sz w:val="28"/>
        </w:rPr>
        <w:t>
      "32-1. Сатып алу шартында көзделген жел электр станциясының генерациялайтын жабдығының (электр энергиясын өндіретін құрылғының) нақты жиынтық белгіленген қуаты асып кеткен жағдайда, Өтініш беруші сатып алу шартында көрсетілген жиынтық белгіленген қуаттың сәйкестігін қамтамасыз ету үшін ЖЭК пайдалану жөніндегі объектінің дара генерациялайтын қондырғысының (қажет болған кезде бірнеше дара генерациялайтын қондырғылардың) қуатын шектейді.</w:t>
      </w:r>
    </w:p>
    <w:bookmarkEnd w:id="4"/>
    <w:p>
      <w:pPr>
        <w:spacing w:after="0"/>
        <w:ind w:left="0"/>
        <w:jc w:val="both"/>
      </w:pPr>
      <w:r>
        <w:rPr>
          <w:rFonts w:ascii="Times New Roman"/>
          <w:b w:val="false"/>
          <w:i w:val="false"/>
          <w:color w:val="000000"/>
          <w:sz w:val="28"/>
        </w:rPr>
        <w:t>
      Бұл ретте, Өтініш беруші осы тармақтың бірінші бөлігіне сәйкес шектеу белгіленген генерациялайтын қондырғылардың электр энергиясын сағаттық өндіру туралы деректерді диспетчерлік және технологиялық басқарудың автоматтандырылған жүйелері арқылы немесе электр энергиясын коммерциялық есепке алудың автоматтандырылған жүйесі арқылы жүйелік операторға беруді қамтамасыз етеді.</w:t>
      </w:r>
    </w:p>
    <w:p>
      <w:pPr>
        <w:spacing w:after="0"/>
        <w:ind w:left="0"/>
        <w:jc w:val="both"/>
      </w:pPr>
      <w:r>
        <w:rPr>
          <w:rFonts w:ascii="Times New Roman"/>
          <w:b w:val="false"/>
          <w:i w:val="false"/>
          <w:color w:val="000000"/>
          <w:sz w:val="28"/>
        </w:rPr>
        <w:t>
      Сонымен қатар, жел электр станциясы генерациялайтын жабдығының нақты жиынтық белгіленген қуатын сатып алу шартында көрсетілген белгіленген қуаттан 10%-дан артық ұлғайтуға жол берілмейді.".</w:t>
      </w:r>
    </w:p>
    <w:bookmarkStart w:name="z6" w:id="5"/>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