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44dc" w14:textId="d5e4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"Банкроттың мүлкін сату бойынша электрондық аукционды өткізу қағидаларын бекіту және оны ұйымдастырушыны айқындау туралы" Қазақстан Республикасы Қаржы министрінің 2015 жылғы 17 наурыздағы № 178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17 тамыздағы № 750 бұйрығы. Қазақстан Республикасының Әділет министрлігінде 2020 жылғы 19 тамызда № 21108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"Банкроттың мүлкін сату бойынша электрондық аукционды өткізу қағидаларын бекіту және оны ұйымдастырушыны айқындау туралы" Қазақстан Республикасы Қаржы министрінің 2015 жылғы 17 наурыздағы № 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10753 болып тіркелген, 2015 жылғы 28 шілдеде "Әділет" ақпараттық-құқықтық жүйесінде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Банкроттың мүлкін сату бойынша электрондық аукционды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"10. Сату жоспарын жасау кезінде сату объектілерінің бастапқы бағасын сатушы теңгерімдік құны не бағалау құнының жетпіс бес пайызы деңгейінде белгілейді.</w:t>
      </w:r>
    </w:p>
    <w:bookmarkEnd w:id="3"/>
    <w:bookmarkStart w:name="z7" w:id="4"/>
    <w:p>
      <w:pPr>
        <w:spacing w:after="0"/>
        <w:ind w:left="0"/>
        <w:jc w:val="both"/>
      </w:pPr>
      <w:r>
        <w:rPr>
          <w:rFonts w:ascii="Times New Roman"/>
          <w:b w:val="false"/>
          <w:i w:val="false"/>
          <w:color w:val="000000"/>
          <w:sz w:val="28"/>
        </w:rPr>
        <w:t>
      Дебиторлық берешек электрондық аукционға оның номиналды мәні мөлшерінде бастапқы бағамен шығарылады.";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"14. Мүлікті электрондық аукционға қайта шығарған кезде сатушы кредиторлар комитетінің келісімімен лоттың бастапқы бағасын алғашқы бастапқы бағасынан жиырма бес пайыздан аспайтын мөлшерде төмендетеді. Алғашқы бастапқы бағаны төмендету бір рет қана рұқсат етіледі.</w:t>
      </w:r>
    </w:p>
    <w:bookmarkEnd w:id="5"/>
    <w:bookmarkStart w:name="z11" w:id="6"/>
    <w:p>
      <w:pPr>
        <w:spacing w:after="0"/>
        <w:ind w:left="0"/>
        <w:jc w:val="both"/>
      </w:pPr>
      <w:r>
        <w:rPr>
          <w:rFonts w:ascii="Times New Roman"/>
          <w:b w:val="false"/>
          <w:i w:val="false"/>
          <w:color w:val="000000"/>
          <w:sz w:val="28"/>
        </w:rPr>
        <w:t>
      15. Объектінің бастапқы бағасы бағалау құнының жетпіс бес пайызы деңгейінде белгіленген жағдайда, сатушы бағалаушының тартуын осы Қағидаларға 3-қосымшаға сәйкес нысан бойынша уәкілетті органның интернет-ресурсында борышкердің мүлкін бағалау бойынша көрсетілетін қызметтерді сатып алу жөніндегі конкурстың өткізілетіні туралы ақпараттық хабарламаны қазақ және орыс тілдерінде жариялай отырып, баға ұсыныстарын сұрату әдісімен конкурстық негізде жүргізеді.</w:t>
      </w:r>
    </w:p>
    <w:bookmarkEnd w:id="6"/>
    <w:bookmarkStart w:name="z12" w:id="7"/>
    <w:p>
      <w:pPr>
        <w:spacing w:after="0"/>
        <w:ind w:left="0"/>
        <w:jc w:val="both"/>
      </w:pPr>
      <w:r>
        <w:rPr>
          <w:rFonts w:ascii="Times New Roman"/>
          <w:b w:val="false"/>
          <w:i w:val="false"/>
          <w:color w:val="000000"/>
          <w:sz w:val="28"/>
        </w:rPr>
        <w:t>
      Уәкілетті орган банкроттың мүлкін бағалау бойынша көрсетілетін қызметтерді сатып алу жөнінде конкурс өткізу туралы ақпараттық хабарламаны сатушы ұсынған күннен бастап екі жұмыс күні ішінде өзінің интернет-ресурсында орналастырады.</w:t>
      </w:r>
    </w:p>
    <w:bookmarkEnd w:id="7"/>
    <w:p>
      <w:pPr>
        <w:spacing w:after="0"/>
        <w:ind w:left="0"/>
        <w:jc w:val="both"/>
      </w:pPr>
      <w:r>
        <w:rPr>
          <w:rFonts w:ascii="Times New Roman"/>
          <w:b w:val="false"/>
          <w:i w:val="false"/>
          <w:color w:val="000000"/>
          <w:sz w:val="28"/>
        </w:rPr>
        <w:t>
      Баға ұсыныстары бар конверттерді кредиторлар жиналысы немесе комитеті белгілеген мерзімде ашу конкурстық комиссияның отырысында жүзеге асырылады. Ең төмен бағаны ұсынған бағалаушы жеңімпаз болып танылады.".</w:t>
      </w:r>
    </w:p>
    <w:bookmarkStart w:name="z13"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5"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6" w:id="1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7"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