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5b0f" w14:textId="34f5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"Рұқсат беру рәсімдерін жүзеге асыру қағидаларын және Ақпаратты криптографиялық қорғау құралдарын өткізуге (оның ішінде өзгеше беруге) рұқсатты беру бойынша рұқсат беру талаптарын және оларға сәйкестікті растайтын құжаттар тізбесін бекіту туралы" Қазақстан Республикасы Ұлттық қауіпсіздік комитеті Төрағасының 2018 жылғы 19 желтоқсандағы №104/қе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2020 жылғы 3 шiлдедегi № 47/қе бұйрығы. Қазақстан Республикасының Әділет министрлігінде 2020 жылғы 5 шiлдеде № 20934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"Рұқсат беру рәсімдерін жүзеге асыру қағидаларын және Ақпаратты криптографиялық қорғау құралдарын өткізуге (оның ішінде өзгеше беруге) рұқсатты беру бойынша рұқсат беру талаптарын және оларға сәйкестікті растайтын құжаттар тізбесін бекіту туралы" Қазақстан Республикасы Ұлттық қауіпсіздік комитеті Төрағасының 2018 жылғы 19 желтоқсандағы № 104/қе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17973 болып тіркелген, 2019 жылғы 3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Рұқсат беру рәсімдерін жүзеге асыру қағидаларын және ақпаратты криптографиялық қорғау құралдарын өткізуге (оның ішінде өзгеше беруге) рұқсатты беру бойынша рұқсат беру талаптарын және оларға сәйкестікті растайтын құжаттар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"11. Рұқсат беру органы рұқсатты немесе рұқсат беруден дәлелді түрде бас тартуды өтініш тіркелген сәттен бастап сегіз жұмыс күнінен кешіктірмей электрондық құжат түрінде береді.";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"14. Осы Қағидалар мен рұқсат беру талаптарына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өткізілген ақпаратты криптографиялық қорғау құралдары туралы есеп рұқсат беру органына есеп беретін жылдан кейінгі жылғы 1 ақпаннан кешіктірмей www.egov.kz, www.elicense.kz "электрондық үкімет" веб-порталы арқылы жүзеге асырылады. Есептің түпнұсқасы екінші санаттағы рұқсат иесінің тіркеуіне қойылады."; </w:t>
      </w:r>
    </w:p>
    <w:bookmarkEnd w:id="4"/>
    <w:bookmarkStart w:name="z8" w:id="5"/>
    <w:p>
      <w:pPr>
        <w:spacing w:after="0"/>
        <w:ind w:left="0"/>
        <w:jc w:val="both"/>
      </w:pPr>
      <w:r>
        <w:rPr>
          <w:rFonts w:ascii="Times New Roman"/>
          <w:b w:val="false"/>
          <w:i w:val="false"/>
          <w:color w:val="000000"/>
          <w:sz w:val="28"/>
        </w:rPr>
        <w:t xml:space="preserve">
      аталған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2. Қазақстан Республикасы Ұлттық қауіпсіздік комитетінің Ақпарат және киберқауіпсіздік қызметі Қазақстан Республикасының заңнамасымен белгіленген тәртіпте:</w:t>
      </w:r>
    </w:p>
    <w:bookmarkEnd w:id="6"/>
    <w:bookmarkStart w:name="z10" w:id="7"/>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мемлекеттiк тiркеуді;</w:t>
      </w:r>
    </w:p>
    <w:bookmarkEnd w:id="7"/>
    <w:bookmarkStart w:name="z11" w:id="8"/>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интернет-ресурсында орналастыруды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орынбасары Д.Е. Ерғожинге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күнтiзбелiк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2020 жылғы "___" 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2020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3 шілдедегі</w:t>
            </w:r>
            <w:r>
              <w:br/>
            </w:r>
            <w:r>
              <w:rPr>
                <w:rFonts w:ascii="Times New Roman"/>
                <w:b w:val="false"/>
                <w:i w:val="false"/>
                <w:color w:val="000000"/>
                <w:sz w:val="20"/>
              </w:rPr>
              <w:t>№ 47/қе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Рұқсат беру рәсімдерін жүзеге </w:t>
            </w:r>
            <w:r>
              <w:br/>
            </w:r>
            <w:r>
              <w:rPr>
                <w:rFonts w:ascii="Times New Roman"/>
                <w:b w:val="false"/>
                <w:i w:val="false"/>
                <w:color w:val="000000"/>
                <w:sz w:val="20"/>
              </w:rPr>
              <w:t xml:space="preserve">асыру қағидаларын және </w:t>
            </w:r>
            <w:r>
              <w:br/>
            </w:r>
            <w:r>
              <w:rPr>
                <w:rFonts w:ascii="Times New Roman"/>
                <w:b w:val="false"/>
                <w:i w:val="false"/>
                <w:color w:val="000000"/>
                <w:sz w:val="20"/>
              </w:rPr>
              <w:t xml:space="preserve">Ақпаратты криптографиялық </w:t>
            </w:r>
            <w:r>
              <w:br/>
            </w:r>
            <w:r>
              <w:rPr>
                <w:rFonts w:ascii="Times New Roman"/>
                <w:b w:val="false"/>
                <w:i w:val="false"/>
                <w:color w:val="000000"/>
                <w:sz w:val="20"/>
              </w:rPr>
              <w:t xml:space="preserve">қорғау құралдарын өткізуге </w:t>
            </w:r>
            <w:r>
              <w:br/>
            </w:r>
            <w:r>
              <w:rPr>
                <w:rFonts w:ascii="Times New Roman"/>
                <w:b w:val="false"/>
                <w:i w:val="false"/>
                <w:color w:val="000000"/>
                <w:sz w:val="20"/>
              </w:rPr>
              <w:t xml:space="preserve">(оның ішінде өзгеше беруге) </w:t>
            </w:r>
            <w:r>
              <w:br/>
            </w:r>
            <w:r>
              <w:rPr>
                <w:rFonts w:ascii="Times New Roman"/>
                <w:b w:val="false"/>
                <w:i w:val="false"/>
                <w:color w:val="000000"/>
                <w:sz w:val="20"/>
              </w:rPr>
              <w:t xml:space="preserve">рұқсатты беру бойынша рұқсат </w:t>
            </w:r>
            <w:r>
              <w:br/>
            </w:r>
            <w:r>
              <w:rPr>
                <w:rFonts w:ascii="Times New Roman"/>
                <w:b w:val="false"/>
                <w:i w:val="false"/>
                <w:color w:val="000000"/>
                <w:sz w:val="20"/>
              </w:rPr>
              <w:t xml:space="preserve">беру талаптарын және оларға </w:t>
            </w:r>
            <w:r>
              <w:br/>
            </w:r>
            <w:r>
              <w:rPr>
                <w:rFonts w:ascii="Times New Roman"/>
                <w:b w:val="false"/>
                <w:i w:val="false"/>
                <w:color w:val="000000"/>
                <w:sz w:val="20"/>
              </w:rPr>
              <w:t xml:space="preserve">сәйкестікті растайтын </w:t>
            </w:r>
            <w:r>
              <w:br/>
            </w:r>
            <w:r>
              <w:rPr>
                <w:rFonts w:ascii="Times New Roman"/>
                <w:b w:val="false"/>
                <w:i w:val="false"/>
                <w:color w:val="000000"/>
                <w:sz w:val="20"/>
              </w:rPr>
              <w:t>құжаттар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 w:id="11"/>
    <w:p>
      <w:pPr>
        <w:spacing w:after="0"/>
        <w:ind w:left="0"/>
        <w:jc w:val="left"/>
      </w:pPr>
      <w:r>
        <w:rPr>
          <w:rFonts w:ascii="Times New Roman"/>
          <w:b/>
          <w:i w:val="false"/>
          <w:color w:val="000000"/>
        </w:rPr>
        <w:t xml:space="preserve"> 20____ жылғы "___" ______ бастап 20_____ жылғы "___" _____ дейінгі кезеңде өткізілген ақпаратты криптографиялық қорғау құралдары туралы  ЕСЕП</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2737"/>
        <w:gridCol w:w="7629"/>
        <w:gridCol w:w="1238"/>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ақпаратты криптографиялық қорғау құралдарының атауы, техникалық зерттеу бойынша қорытындының нөмірі және күні</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үшін негіз (келісімшарттың (шарттың) нөмірі, жасалу және орындау мерзімі, өткізуге шарт жасалған ұйымның заңды және нақты мекен жайы, жеке сәйкестендіру нөмірі/бизнес сәйкестендіру нөмірі (болса), байланыс телефондары)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ақпаратты криптографиялық қорғау құралдарының саны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 ____________ ________________________________ </w:t>
      </w:r>
    </w:p>
    <w:p>
      <w:pPr>
        <w:spacing w:after="0"/>
        <w:ind w:left="0"/>
        <w:jc w:val="both"/>
      </w:pPr>
      <w:r>
        <w:rPr>
          <w:rFonts w:ascii="Times New Roman"/>
          <w:b w:val="false"/>
          <w:i w:val="false"/>
          <w:color w:val="000000"/>
          <w:sz w:val="28"/>
        </w:rPr>
        <w:t>
      басшының лауазымы             қолы тегі, аты, әкесінің аты (ол болған жағдайда)</w:t>
      </w:r>
    </w:p>
    <w:p>
      <w:pPr>
        <w:spacing w:after="0"/>
        <w:ind w:left="0"/>
        <w:jc w:val="both"/>
      </w:pPr>
      <w:r>
        <w:rPr>
          <w:rFonts w:ascii="Times New Roman"/>
          <w:b w:val="false"/>
          <w:i w:val="false"/>
          <w:color w:val="000000"/>
          <w:sz w:val="28"/>
        </w:rPr>
        <w:t>
      М.О. (ол болған жағдайда)</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қойылған күні</w:t>
      </w:r>
    </w:p>
    <w:tbl>
      <w:tblPr>
        <w:tblW w:w="0" w:type="auto"/>
        <w:tblCellSpacing w:w="0" w:type="auto"/>
        <w:tblBorders>
          <w:top w:val="none"/>
          <w:left w:val="none"/>
          <w:bottom w:val="none"/>
          <w:right w:val="none"/>
          <w:insideH w:val="none"/>
          <w:insideV w:val="none"/>
        </w:tblBorders>
      </w:tblPr>
      <w:tblGrid>
        <w:gridCol w:w="362"/>
        <w:gridCol w:w="11938"/>
      </w:tblGrid>
      <w:tr>
        <w:trPr>
          <w:trHeight w:val="30" w:hRule="atLeast"/>
        </w:trPr>
        <w:tc>
          <w:tcPr>
            <w:tcW w:w="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1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ақпаратты криптографиялық қорғау құралдары туралы есеп DOC форматтағы 2-санатты рұқсаты бар уәкілетті тұлғаның электронды-сандық қолтаңбасымен куәландырылған электрондық құжат түрінде рұқсат беру органына есеп беретін жылдан кейінгі жылғы 1 ақпаннан кешіктірмей www.egov.kz, www.elicense.kz "электрондық үкімет" веб-порталы арқылы жүзеге асырылады. Есептің түпнұсқасы екінші санаттағы рұқсат иесінің тіркеуіне қойылады.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