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f191" w14:textId="e6df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5 маусымдағы № 231 бұйрығы. Қазақстан Республикасының Әділет министрлігінде 2020 жылғы 8 маусымда № 20827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мен хабарламалар туралы" 2014 жылғы 16 мамырдағы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2015 жылғы 30 шілдеде жарияланған, Нормативтік құқықтық актілерді мемлекеттік тіркеу тізілімінде № 11716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 Көбенова)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үлгілік оқу жоспарларына және Қазақстан Республикасы Білім және ғылым министрінің 2018 жылғы 31 қазандағы № 604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604 бұйрық) бекітілген Бастауыш білім берудің мемлекеттік жалпыға міндетті стандартына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бейіндері бойынша педагогикалық білімі бар педагогтердің болуы.</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жалпы білім беретін мектептер, мектеп-гимназиялар, мектеп-лицейлер үшін кемінде 25%;</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гимназиялар үшін кемінде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1-ші 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медициналық қызмет көрсетуге лицензия немесе шарт негізінде білім алушыларға медициналық қызмет көрсетудің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туралы мәлімет, оның ішінде медициналық пункттің және медициналық қызметке берілген лицензияның болуы туралы мәлімет (осы біліктілік талаптарына </w:t>
            </w:r>
            <w:r>
              <w:rPr>
                <w:rFonts w:ascii="Times New Roman"/>
                <w:b w:val="false"/>
                <w:i w:val="false"/>
                <w:color w:val="000000"/>
                <w:sz w:val="20"/>
              </w:rPr>
              <w:t>3-ші 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мен нормаларға сәйкес келетін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алушыларды тамақпен қамтамасыз ету шартының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не сенімгерлік басқару құқығында тиесілі материалдық активтердің болуы немесе Қазақстан Республикасы Денсаулық сақтау министрінің 2017 жылғы 16 тамыздағы № 611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611 бұйрық) бекітілген санитариялық нормаларға және Қазақстан Республикасы Ішкі істер министрінің 2017 жылғы 23 тамыздығы № 439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15501 болып тіркелген) (бұдан әрі - № 439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Пайдалыи оқу алаңының,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ғимаратқа жалдау шартының көшірмелері; санитариялық-эпидемиологиялық қорытындының/актінің көшірмесі; өрт қауіпсіздігі саласындағы сәйкестікті тексеру нәтижелері туралы актінің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жарақтандырылуы; edu.kz аймағында үшінші деңгейдегі домендік атаудың болуы;</w:t>
            </w:r>
          </w:p>
          <w:p>
            <w:pPr>
              <w:spacing w:after="20"/>
              <w:ind w:left="20"/>
              <w:jc w:val="both"/>
            </w:pPr>
            <w:r>
              <w:rPr>
                <w:rFonts w:ascii="Times New Roman"/>
                <w:b w:val="false"/>
                <w:i w:val="false"/>
                <w:color w:val="000000"/>
                <w:sz w:val="20"/>
              </w:rPr>
              <w:t>
жабдықтар мен жиһаздардың болуы;</w:t>
            </w:r>
          </w:p>
          <w:p>
            <w:pPr>
              <w:spacing w:after="20"/>
              <w:ind w:left="20"/>
              <w:jc w:val="both"/>
            </w:pPr>
            <w:r>
              <w:rPr>
                <w:rFonts w:ascii="Times New Roman"/>
                <w:b w:val="false"/>
                <w:i w:val="false"/>
                <w:color w:val="000000"/>
                <w:sz w:val="20"/>
              </w:rPr>
              <w:t>
жеке пайдалануға арналған жабдықталған шкафтардың болуы;</w:t>
            </w:r>
          </w:p>
          <w:p>
            <w:pPr>
              <w:spacing w:after="20"/>
              <w:ind w:left="20"/>
              <w:jc w:val="both"/>
            </w:pPr>
            <w:r>
              <w:rPr>
                <w:rFonts w:ascii="Times New Roman"/>
                <w:b w:val="false"/>
                <w:i w:val="false"/>
                <w:color w:val="000000"/>
                <w:sz w:val="20"/>
              </w:rPr>
              <w:t>
Қазақстан Республикасы Білім және ғылым министрінің 2019 жылғы 23 қаңтардағы № 32 және Қазақстан Республикасы Ішкі істер министрінің 2019 жылығы 23 қаңтарда № 49 бұйрықтарымен (Нормативтік құқықтық актілерді мемлекеттік тіркеу тізілімінде № 18239 болып тіркелген) (бұдан әрі - № 32 және № 49 бұйрықтар) бекітілген бірлескен бұйрыққа сәйкес мемлекеттік білім беру ұйымдарының орын-жайларында және (немесе) іргелес аумақтарында бейнебақылаудың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білім беру ұйымының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p>
            <w:pPr>
              <w:spacing w:after="20"/>
              <w:ind w:left="20"/>
              <w:jc w:val="both"/>
            </w:pPr>
            <w:r>
              <w:rPr>
                <w:rFonts w:ascii="Times New Roman"/>
                <w:b w:val="false"/>
                <w:i w:val="false"/>
                <w:color w:val="000000"/>
                <w:sz w:val="20"/>
              </w:rPr>
              <w:t>
Жаңадан құрылған білім беру ұйымдарында жеке пайдалануға арналған жабдықталған шкафтар саны болжамды жиынтық бойынша анықталады, жұмыс істеп тұрған білім беру ұйымдарында контингент бойынша анықталады.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қорының статистикалық деректерінің білім беру ұйымының нақты деректеріне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Негізгі орта білім берудің мемлекеттік жалпыға міндетті стандартына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үшін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w:t>
            </w:r>
          </w:p>
          <w:p>
            <w:pPr>
              <w:spacing w:after="20"/>
              <w:ind w:left="20"/>
              <w:jc w:val="both"/>
            </w:pPr>
            <w:r>
              <w:rPr>
                <w:rFonts w:ascii="Times New Roman"/>
                <w:b w:val="false"/>
                <w:i w:val="false"/>
                <w:color w:val="000000"/>
                <w:sz w:val="20"/>
              </w:rPr>
              <w:t>
лицей үшін 40 %-дан кем емес, оның ішінде жаратылыстану-математикалық бағыттағы педагогтердің үлесі 30%-дан кем емес;</w:t>
            </w:r>
          </w:p>
          <w:p>
            <w:pPr>
              <w:spacing w:after="20"/>
              <w:ind w:left="20"/>
              <w:jc w:val="both"/>
            </w:pPr>
            <w:r>
              <w:rPr>
                <w:rFonts w:ascii="Times New Roman"/>
                <w:b w:val="false"/>
                <w:i w:val="false"/>
                <w:color w:val="000000"/>
                <w:sz w:val="20"/>
              </w:rPr>
              <w:t>
гимназиялар үшін кемінде 40%, оның ішінде қоғамдық-гуманитарлық бағыттағы педагогтердің үлесі кемінде 30%;</w:t>
            </w:r>
          </w:p>
          <w:p>
            <w:pPr>
              <w:spacing w:after="20"/>
              <w:ind w:left="20"/>
              <w:jc w:val="both"/>
            </w:pPr>
            <w:r>
              <w:rPr>
                <w:rFonts w:ascii="Times New Roman"/>
                <w:b w:val="false"/>
                <w:i w:val="false"/>
                <w:color w:val="000000"/>
                <w:sz w:val="20"/>
              </w:rPr>
              <w:t>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611 бұйрықпен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ғимаратқа жалдау шартының көшірмелері; санитариялық-эпидемиологиялық қорытындының/актінің көшірмесі; өрт қауіпсіздігі саласындағы сәйкестікті тексеру нәтижелері туралы актінің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 604 бұйрықпен бекітілген мемлекеттік жалпыға міндетті білім беру стандарттарына сәйкес оқу пәндері кабинеттерімен, зертханалармен, спорт залдарымен жарақтандырылуы; жабдықтар мен жиһаздардың болуы; edu.kz аймағында үшінші деңгейдегі домендік атаудың болуы;</w:t>
            </w:r>
          </w:p>
          <w:p>
            <w:pPr>
              <w:spacing w:after="20"/>
              <w:ind w:left="20"/>
              <w:jc w:val="both"/>
            </w:pPr>
            <w:r>
              <w:rPr>
                <w:rFonts w:ascii="Times New Roman"/>
                <w:b w:val="false"/>
                <w:i w:val="false"/>
                <w:color w:val="000000"/>
                <w:sz w:val="20"/>
              </w:rPr>
              <w:t>
№ 32 және № 49 бұйрықтармен бекітілген бірлескен бұйрыққа сәйкес мемлекеттік білім беру ұйымдарының орын-жайларында және (немесе) іргелес аумақтарында бейнебақылаудың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ұйымының үй-жайларында және аумағында бейнекамералардың болуы (осы біліктілік талаптарына 6-қосымшаға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қорының статистикалық деректерінің білім беру ұйымының нақты деректеріне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Жалпы орта білім берудің мемлекеттік жалпыға міндетті стандартына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үшін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w:t>
            </w:r>
          </w:p>
          <w:p>
            <w:pPr>
              <w:spacing w:after="20"/>
              <w:ind w:left="20"/>
              <w:jc w:val="both"/>
            </w:pPr>
            <w:r>
              <w:rPr>
                <w:rFonts w:ascii="Times New Roman"/>
                <w:b w:val="false"/>
                <w:i w:val="false"/>
                <w:color w:val="000000"/>
                <w:sz w:val="20"/>
              </w:rPr>
              <w:t>
лицей үшін 40 %-дан кем емес, оның ішінде жаратылыстану-математикалық бағыттағы педагогтердің үлесі 30%-дан кем емес;</w:t>
            </w:r>
          </w:p>
          <w:p>
            <w:pPr>
              <w:spacing w:after="20"/>
              <w:ind w:left="20"/>
              <w:jc w:val="both"/>
            </w:pPr>
            <w:r>
              <w:rPr>
                <w:rFonts w:ascii="Times New Roman"/>
                <w:b w:val="false"/>
                <w:i w:val="false"/>
                <w:color w:val="000000"/>
                <w:sz w:val="20"/>
              </w:rPr>
              <w:t>
гимназиялар үшін кемінде 40%, оның ішінде қоғамдық-гуманитарлық бағыттағы педагогтердің үлесі кемінде 30%;</w:t>
            </w:r>
          </w:p>
          <w:p>
            <w:pPr>
              <w:spacing w:after="20"/>
              <w:ind w:left="20"/>
              <w:jc w:val="both"/>
            </w:pPr>
            <w:r>
              <w:rPr>
                <w:rFonts w:ascii="Times New Roman"/>
                <w:b w:val="false"/>
                <w:i w:val="false"/>
                <w:color w:val="000000"/>
                <w:sz w:val="20"/>
              </w:rPr>
              <w:t>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611 бұйрықпен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ғимаратқа жалдау шартының көшірмелері; санитариялық-эпидемиологиялық қорытындының/актінің көшірмесі; өрт қауіпсіздігі саласындағы сәйкестікті тексеру нәтижелері туралы актінің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 604 бұйрықпен бекітілген мемлекеттік жалпыға міндетті білім беру стандарттарына сәйкес оқу пәндері кабинеттерімен, зертханалармен, спорт залдарымен жарақтандырылуы; жабдықтар мен жиһаздардың болуы; edu.kz аймағында үшінші деңгейдегі домендік атаудың болуы;</w:t>
            </w:r>
          </w:p>
          <w:p>
            <w:pPr>
              <w:spacing w:after="20"/>
              <w:ind w:left="20"/>
              <w:jc w:val="both"/>
            </w:pPr>
            <w:r>
              <w:rPr>
                <w:rFonts w:ascii="Times New Roman"/>
                <w:b w:val="false"/>
                <w:i w:val="false"/>
                <w:color w:val="000000"/>
                <w:sz w:val="20"/>
              </w:rPr>
              <w:t>
№ 32 және № 49 бұйрықтармен бекітілген бірлескен бұйрыққа сәйкес мемлекеттік білім беру ұйымдарының үй-жайларында және (немесе) іргелес аумақтарында бейнебақылаудың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ұйымының үй-жайларында және аумағында бейнекамералардың болуы (осы біліктілік талаптарына 6-қосымшаға сәйкес нысан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қорының статистикалық деректерінің білім беру ұйымының нақты деректеріне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жұмыс оқу жоспарларының № 604 бұйрықпен бекітілген Техникалық және кәсіптік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12007 болып тіркелген) (бұдан әрі - № 647 бұйрық) бекітілген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(бар болса)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 647 бұйрықпен бекітілген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бойынша жұмыс оқу жоспарының көшірмелері</w:t>
            </w:r>
          </w:p>
          <w:p>
            <w:pPr>
              <w:spacing w:after="20"/>
              <w:ind w:left="20"/>
              <w:jc w:val="both"/>
            </w:pPr>
            <w:r>
              <w:rPr>
                <w:rFonts w:ascii="Times New Roman"/>
                <w:b w:val="false"/>
                <w:i w:val="false"/>
                <w:color w:val="000000"/>
                <w:sz w:val="20"/>
              </w:rPr>
              <w:t>
Толық оқу кезеңіне әзірленген мамандық бойынша білім беру бағдарламасының көшірмесі және діни қызмет саласындағы уәкілетті органның қорытынды хатының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және (немесе) № 647 бұйрықпен бекітілген техникалық және кәсіптік білім берудің мемлекеттік жалпыға міндетті стандартына сәйкестігі туралы біліктілік талабы Қазақстан Республикасы Білім және ғылым министрінің 2018 жылғы 26 маусымдағы № 305 бұйрығымен бекітілген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 қажеттіліктері бар адамдарды оқыту үшін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90%-ын жұмысқа орналастыруды қамтамасыз ететін білім беру ұйымдарын қоспағанда,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17564 болып тіркелген) (бұдан әрі - № 500 бұйрық)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мамандық бойынша білім алушыларды соңғы 2 жыл үздіксіз қабылдауды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және/немесе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министрлігінің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 сарапшылардың, педагог-зерттеушілердің, педагог-шеберлердің және (немесе) магистрлердің үлесі - кемінде 30 %;</w:t>
            </w:r>
          </w:p>
          <w:p>
            <w:pPr>
              <w:spacing w:after="20"/>
              <w:ind w:left="20"/>
              <w:jc w:val="both"/>
            </w:pP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w:t>
            </w:r>
          </w:p>
          <w:p>
            <w:pPr>
              <w:spacing w:after="20"/>
              <w:ind w:left="20"/>
              <w:jc w:val="both"/>
            </w:pP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611 бұйрықпен бекітілген санитариялық нормаларға және № 439 бұйрықпен бекітілген өрт қауіпсіздігі талаптарына сәйкес келетін алаңы бар оқу үй-жайларының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көшірмелері</w:t>
            </w:r>
          </w:p>
          <w:p>
            <w:pPr>
              <w:spacing w:after="20"/>
              <w:ind w:left="20"/>
              <w:jc w:val="both"/>
            </w:pPr>
            <w:r>
              <w:rPr>
                <w:rFonts w:ascii="Times New Roman"/>
                <w:b w:val="false"/>
                <w:i w:val="false"/>
                <w:color w:val="000000"/>
                <w:sz w:val="20"/>
              </w:rPr>
              <w:t>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сәйкестігін тексеру нәтижелері туралы актінің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66 бұйрығына (Нормативтік құқықтық актілерді мемлекеттік тіркеу тізілімінде № 13487 болып тіркелген) (бұдан әрі - № 66 бұйрық) сәйкес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Қазақстан Республикасы Білім және ғылым министрінің 2020 жылғы 2 наурыздағы № 79 бұйрығымен (бұдан әрі - № 79 бұйрық) бекітілген интернет желісіне қосылған,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компьютерлермен жарақтандырылуы.</w:t>
            </w:r>
          </w:p>
          <w:p>
            <w:pPr>
              <w:spacing w:after="20"/>
              <w:ind w:left="20"/>
              <w:jc w:val="both"/>
            </w:pPr>
            <w:r>
              <w:rPr>
                <w:rFonts w:ascii="Times New Roman"/>
                <w:b w:val="false"/>
                <w:i w:val="false"/>
                <w:color w:val="000000"/>
                <w:sz w:val="20"/>
              </w:rPr>
              <w:t>
Денсаулық сақтау саласындағы білім беру ұйымдары үшін симуляциялық кабинеттердің болуы.</w:t>
            </w:r>
          </w:p>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w:t>
            </w:r>
          </w:p>
          <w:p>
            <w:pPr>
              <w:spacing w:after="20"/>
              <w:ind w:left="20"/>
              <w:jc w:val="both"/>
            </w:pPr>
            <w:r>
              <w:rPr>
                <w:rFonts w:ascii="Times New Roman"/>
                <w:b w:val="false"/>
                <w:i w:val="false"/>
                <w:color w:val="000000"/>
                <w:sz w:val="20"/>
              </w:rPr>
              <w:t>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оқыту құралдарының болуы туралы мәліметтер (осы біліктілік талаптарына 6-қосымшаға сәйкес нысан бойынша).</w:t>
            </w:r>
          </w:p>
          <w:p>
            <w:pPr>
              <w:spacing w:after="20"/>
              <w:ind w:left="20"/>
              <w:jc w:val="both"/>
            </w:pPr>
            <w:r>
              <w:rPr>
                <w:rFonts w:ascii="Times New Roman"/>
                <w:b w:val="false"/>
                <w:i w:val="false"/>
                <w:color w:val="000000"/>
                <w:sz w:val="20"/>
              </w:rPr>
              <w:t>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p>
            <w:pPr>
              <w:spacing w:after="20"/>
              <w:ind w:left="20"/>
              <w:jc w:val="both"/>
            </w:pPr>
            <w:r>
              <w:rPr>
                <w:rFonts w:ascii="Times New Roman"/>
                <w:b w:val="false"/>
                <w:i w:val="false"/>
                <w:color w:val="000000"/>
                <w:sz w:val="20"/>
              </w:rPr>
              <w:t>
білім беру ұйымдарының басшы кадрлары үшін "Педагог мәртебесі туралы" Қазақстан Республикасы Заңының 18-бабының 1-тармағына сәйкес біліктілікті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тиісті бейін бойынша педагогтердің біліктілігін арттыру туралы мәліметтер көлемі кемінде 180 сағат;</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p>
            <w:pPr>
              <w:spacing w:after="20"/>
              <w:ind w:left="20"/>
              <w:jc w:val="both"/>
            </w:pPr>
            <w:r>
              <w:rPr>
                <w:rFonts w:ascii="Times New Roman"/>
                <w:b w:val="false"/>
                <w:i w:val="false"/>
                <w:color w:val="000000"/>
                <w:sz w:val="20"/>
              </w:rPr>
              <w:t>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w:t>
            </w:r>
          </w:p>
          <w:p>
            <w:pPr>
              <w:spacing w:after="20"/>
              <w:ind w:left="20"/>
              <w:jc w:val="both"/>
            </w:pPr>
            <w:r>
              <w:rPr>
                <w:rFonts w:ascii="Times New Roman"/>
                <w:b w:val="false"/>
                <w:i w:val="false"/>
                <w:color w:val="000000"/>
                <w:sz w:val="20"/>
              </w:rPr>
              <w:t>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p>
            <w:pPr>
              <w:spacing w:after="20"/>
              <w:ind w:left="20"/>
              <w:jc w:val="both"/>
            </w:pPr>
            <w:r>
              <w:rPr>
                <w:rFonts w:ascii="Times New Roman"/>
                <w:b w:val="false"/>
                <w:i w:val="false"/>
                <w:color w:val="000000"/>
                <w:sz w:val="20"/>
              </w:rPr>
              <w:t>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- 75%-дан кем емес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медициналық және фармацевтикалық мамандықтар үшін № 647 бұйрықпен бекітілген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(қазақ және орыс тілдерінде) үлгілік оқу жоспарларына (бар болса)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бұйрықпен бекітілген және (немесе) №647 бұйрықпен бекітілген Техникалық және кәсіптік білім берудің мемлекеттік жалпыға міндетті стандартына, үлгілік оқу жоспарына (бар болған жағдайда), салалық біліктілік шеңберіне, кәсіптік стандартқа (бар болған жағдайда), "Педагог" кәсіби стандартына сәйкес оқудың толық кезеңіне әзірленген, білім беру ұйымының жұмыс берушілермен келісілген даярланатын мамандық біліктілігі бойынша (қазақ және орыс тілдерінде) оқу жұмыс жоспарының көшірмелері.</w:t>
            </w:r>
          </w:p>
          <w:p>
            <w:pPr>
              <w:spacing w:after="20"/>
              <w:ind w:left="20"/>
              <w:jc w:val="both"/>
            </w:pPr>
            <w:r>
              <w:rPr>
                <w:rFonts w:ascii="Times New Roman"/>
                <w:b w:val="false"/>
                <w:i w:val="false"/>
                <w:color w:val="000000"/>
                <w:sz w:val="20"/>
              </w:rPr>
              <w:t>
Толық оқу кезеңіне әзірленген мамандық бойынша білім беру бағдарламасының көшірмесі және діни қызмет саласындағы уәкілетті органның қорытынды хатының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№604 бұйрықпен бекітілген және (немесе) №647 бұйрықпен бекітілген техникалық және кәсіптік білім берудің мемлекеттік жалпыға міндетті стандартына сәйкестігі туралы біліктілік талабы мәлімделген шарттар бойынша уәкілетті орган бекіткен эксперимент режимінде іске асырылатын, сондай-ақ қылмыстық-атқару (пенитенциарлық) жүйесі мекемелерінің жанынан орналастырылған білім беру ұйымдарында адамдарды оқыту үшін және ерекше білім беру қажеттіліктері бар адамдарды оқыту үшін бағдарламаларға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90%-ын жұмысқа орналастыруды қамтамасыз ететін білім беру ұйымдарын қоспағанда, № 500 бұйрықпен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мамандығы бойынша бітірушілердің кемінде 90%-ын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мамандық бойынша білім алушыларды соңғы 2 жыл үздіксіз қабылдауды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даярланатын мамандық біліктілігі бойынша педагогтер санынан жоғары және бірінші санатты педагогтердің, педагог- сарапшылардың, педагог-зерттеушілердің, педагог-шеберлердің және (немесе) магистрлердің үлесі - кемінде 40 %;</w:t>
            </w:r>
          </w:p>
          <w:p>
            <w:pPr>
              <w:spacing w:after="20"/>
              <w:ind w:left="20"/>
              <w:jc w:val="both"/>
            </w:pPr>
            <w:r>
              <w:rPr>
                <w:rFonts w:ascii="Times New Roman"/>
                <w:b w:val="false"/>
                <w:i w:val="false"/>
                <w:color w:val="000000"/>
                <w:sz w:val="20"/>
              </w:rPr>
              <w:t>
Ұйымдарда және/немесе өндірісте кемінде соңғы 3 жылда кемінде 72 сағат көлемінде тағылымдамадан өткен, негізгі жұмыс орны лицензиат болып табылатын мамандық біліктілігі бойынша педагогтердің жалпы санынан арнайы пәндер педагогтерінің және өндірістік оқыту шеберлерінің үлесі - кемінде 10%.</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жалпы білім беретін пәндер бойынша, жоғары білімі бар, бейінді пәндер бойынша - бейін бойынша жоғары білім және/немесе рухани семинарияны немесе медресені бітірген, діни салада кемінде бес жыл жалпы жұмыс өтілі бар даярланатын мамандық біліктілігі бойынша педагогтердің жалпы санынан педагогтердің үлесі - кемінде 50%.</w:t>
            </w:r>
          </w:p>
          <w:p>
            <w:pPr>
              <w:spacing w:after="20"/>
              <w:ind w:left="20"/>
              <w:jc w:val="both"/>
            </w:pPr>
            <w:r>
              <w:rPr>
                <w:rFonts w:ascii="Times New Roman"/>
                <w:b w:val="false"/>
                <w:i w:val="false"/>
                <w:color w:val="000000"/>
                <w:sz w:val="20"/>
              </w:rPr>
              <w:t>
Магистр дәрежесі, философия докторы (PhD) ғылыми дәрежесі бар педагогтер мен өндірістік оқыту шеберлерінің үлесі - кемінде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611 бұйрықпен бекітілген санитариялық нормаларға және № 439 бұйрықпен бекітілген өрт қауіпсіздігі талаптарына сәйкес келетін алаңы бар оқу үй-жайларының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көшірмелері</w:t>
            </w:r>
          </w:p>
          <w:p>
            <w:pPr>
              <w:spacing w:after="20"/>
              <w:ind w:left="20"/>
              <w:jc w:val="both"/>
            </w:pPr>
            <w:r>
              <w:rPr>
                <w:rFonts w:ascii="Times New Roman"/>
                <w:b w:val="false"/>
                <w:i w:val="false"/>
                <w:color w:val="000000"/>
                <w:sz w:val="20"/>
              </w:rPr>
              <w:t>
Санитариялық-эпидемиологиялық қорытындының/ актінің көшірмесі;</w:t>
            </w:r>
          </w:p>
          <w:p>
            <w:pPr>
              <w:spacing w:after="20"/>
              <w:ind w:left="20"/>
              <w:jc w:val="both"/>
            </w:pPr>
            <w:r>
              <w:rPr>
                <w:rFonts w:ascii="Times New Roman"/>
                <w:b w:val="false"/>
                <w:i w:val="false"/>
                <w:color w:val="000000"/>
                <w:sz w:val="20"/>
              </w:rPr>
              <w:t>
Өрт қауіпсіздігі саласындағы сәйкестігін тексеру нәтижелері туралы актілердің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бұйрыққа сәйкес студенттердің тұруы үшін жағдай жасау, меншікті не шаруашылық жүргізу, немесе жедел басқару, немесе сенімді басқару құқығында немесе жалдау құқығында оқудың толық кезеңінде тұруды қамтамасыз ететін жатақханалардың және/немесе хостелдердің және/немесе қонақ үйлердің болуы - мұқтаждар санының кемінде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даярланатын мамандық біліктілігі бойынша оқу-зертханалық жабдықтармен және техникалық оқыту құралдарымен, сондай-ақ № 79 бұйрықпен бекітілген талаптарға сәйкес интернет желісіне қосылған,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компьютерлермен жарақтандырылуы.</w:t>
            </w:r>
          </w:p>
          <w:p>
            <w:pPr>
              <w:spacing w:after="20"/>
              <w:ind w:left="20"/>
              <w:jc w:val="both"/>
            </w:pPr>
            <w:r>
              <w:rPr>
                <w:rFonts w:ascii="Times New Roman"/>
                <w:b w:val="false"/>
                <w:i w:val="false"/>
                <w:color w:val="000000"/>
                <w:sz w:val="20"/>
              </w:rPr>
              <w:t>
Денсаулық сақтау саласындағы білім беру ұйымдары үшін симуляциялық кабинеттердің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p>
            <w:pPr>
              <w:spacing w:after="20"/>
              <w:ind w:left="20"/>
              <w:jc w:val="both"/>
            </w:pPr>
            <w:r>
              <w:rPr>
                <w:rFonts w:ascii="Times New Roman"/>
                <w:b w:val="false"/>
                <w:i w:val="false"/>
                <w:color w:val="000000"/>
                <w:sz w:val="20"/>
              </w:rPr>
              <w:t>
білім беру ұйымдарының басшы кадрлары үшін "Педагог мәртебесі туралы" Қазақстан Республикасы Заңының 18-бабының 1-тармағына сәйкес біліктілікті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педагогтердің біліктілігін арттыру туралы мәліметтер көлемі кемінде 180 сағат;</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p>
            <w:pPr>
              <w:spacing w:after="20"/>
              <w:ind w:left="20"/>
              <w:jc w:val="both"/>
            </w:pPr>
            <w:r>
              <w:rPr>
                <w:rFonts w:ascii="Times New Roman"/>
                <w:b w:val="false"/>
                <w:i w:val="false"/>
                <w:color w:val="000000"/>
                <w:sz w:val="20"/>
              </w:rPr>
              <w:t>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w:t>
            </w:r>
          </w:p>
          <w:p>
            <w:pPr>
              <w:spacing w:after="20"/>
              <w:ind w:left="20"/>
              <w:jc w:val="both"/>
            </w:pPr>
            <w:r>
              <w:rPr>
                <w:rFonts w:ascii="Times New Roman"/>
                <w:b w:val="false"/>
                <w:i w:val="false"/>
                <w:color w:val="000000"/>
                <w:sz w:val="20"/>
              </w:rPr>
              <w:t>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біліктілігіне сәйкес практика базасы ретінде айқындалған ұйымдармен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бес жылдан кем емес, семинарияны немесе медресені бітірген оқытушылардың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"Педагогикалық ғылымдар" кадрларды даярлау бағыты бойынша білім беру бағдарламасының орта білім берудің (бастауыш, негізгі, орта, жалпы орта білім беру) № 604 бұйрықпен бекітілген орта білім мемлекеттік жалпыға міндетті стандартын ескере отырып және білім беру саласындағы салалық біліктілік шеңберін, "Педагог" кәсіптік стандартын ескере отырып әзірленген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 647 бұйрықпен бекітілген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 647 бұйрықпен бекітілген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 сондай-ақ бітірушілердің бітірген жыл ішінде жұмысқа орналасуын (кемінде 90%) қамтамасыз ететін білім беру ұйымдарын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атағына (бар болған жағдайда) сәйкестігі.</w:t>
            </w:r>
          </w:p>
          <w:p>
            <w:pPr>
              <w:spacing w:after="20"/>
              <w:ind w:left="20"/>
              <w:jc w:val="both"/>
            </w:pPr>
            <w:r>
              <w:rPr>
                <w:rFonts w:ascii="Times New Roman"/>
                <w:b w:val="false"/>
                <w:i w:val="false"/>
                <w:color w:val="000000"/>
                <w:sz w:val="20"/>
              </w:rPr>
              <w:t>
Кадрлар даярлау бағыты бойынша оқытушылардың жалпы санынан негізгі жұмыс орны лицензиат болып табылатын Ұлттық біліктілік шеңберінің 8-деңгейіне сәйкес келетін мамандарды қоса алғанда, оқытушылардың үлесі - кемінде 60%; "Өнер және гуманитарлық ғылымдар" және "Денсаулық сақтау және әлеуметтік қамтамасыз ету (медицина)" кадрлар даярлау бағыты бойынша - кемінде 50 %, азаматтық авиация саласындағы білім беру бағдарламаларын іске асыратын білім беру ұйымдары үшін - кемінде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"Еңбек сіңірген жаттықтырушы" спорттық атағына ие оқытушылар университеттер, академиялар, институттар үшін - кемінде 40 %;</w:t>
            </w:r>
          </w:p>
          <w:p>
            <w:pPr>
              <w:spacing w:after="20"/>
              <w:ind w:left="20"/>
              <w:jc w:val="both"/>
            </w:pPr>
            <w:r>
              <w:rPr>
                <w:rFonts w:ascii="Times New Roman"/>
                <w:b w:val="false"/>
                <w:i w:val="false"/>
                <w:color w:val="000000"/>
                <w:sz w:val="20"/>
              </w:rPr>
              <w:t>
кадрлар даярлау бағыты бойынша оқытушылардың жалпы санынан негізгі жұмыс орны лицензиат болып табылатын, "магистр" дәрежесі бар оқытушылардың үлесі - кемінде 60%;</w:t>
            </w:r>
          </w:p>
          <w:p>
            <w:pPr>
              <w:spacing w:after="20"/>
              <w:ind w:left="20"/>
              <w:jc w:val="both"/>
            </w:pPr>
            <w:r>
              <w:rPr>
                <w:rFonts w:ascii="Times New Roman"/>
                <w:b w:val="false"/>
                <w:i w:val="false"/>
                <w:color w:val="000000"/>
                <w:sz w:val="20"/>
              </w:rPr>
              <w:t>
кадрлар даярлау бағыты бойынша оқытушылардың жалпы санынан "Педагогикалық ғылымдар" дайындық бағыты бойынша</w:t>
            </w:r>
          </w:p>
          <w:p>
            <w:pPr>
              <w:spacing w:after="20"/>
              <w:ind w:left="20"/>
              <w:jc w:val="both"/>
            </w:pPr>
            <w:r>
              <w:rPr>
                <w:rFonts w:ascii="Times New Roman"/>
                <w:b w:val="false"/>
                <w:i w:val="false"/>
                <w:color w:val="000000"/>
                <w:sz w:val="20"/>
              </w:rPr>
              <w:t>
университеттер, академиялар, институттар үшін- кемінде 45 %;</w:t>
            </w:r>
          </w:p>
          <w:p>
            <w:pPr>
              <w:spacing w:after="20"/>
              <w:ind w:left="20"/>
              <w:jc w:val="both"/>
            </w:pPr>
            <w:r>
              <w:rPr>
                <w:rFonts w:ascii="Times New Roman"/>
                <w:b w:val="false"/>
                <w:i w:val="false"/>
                <w:color w:val="000000"/>
                <w:sz w:val="20"/>
              </w:rPr>
              <w:t>
"Өнер және гуманитарлық ғылымдар" кадрлар даярлау бағыты бойынша негізгі жұмыс орны лицензиат болып табылатын,"ғылым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университеттер, академиялар, институттар үшін - кемінде 40 %,</w:t>
            </w:r>
          </w:p>
          <w:p>
            <w:pPr>
              <w:spacing w:after="20"/>
              <w:ind w:left="20"/>
              <w:jc w:val="both"/>
            </w:pPr>
            <w:r>
              <w:rPr>
                <w:rFonts w:ascii="Times New Roman"/>
                <w:b w:val="false"/>
                <w:i w:val="false"/>
                <w:color w:val="000000"/>
                <w:sz w:val="20"/>
              </w:rPr>
              <w:t>
кадрларды даярлау бағыты бойынша оқытушылардың жалпы санынан негізгі жұмыс орны лицензиат болып табылатын, "магистр" дәрежесі бар оқытушылардың үлесі - кемінде 60%;</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 даярлау бағыты бойынша:</w:t>
            </w:r>
          </w:p>
          <w:p>
            <w:pPr>
              <w:spacing w:after="20"/>
              <w:ind w:left="20"/>
              <w:jc w:val="both"/>
            </w:pPr>
            <w:r>
              <w:rPr>
                <w:rFonts w:ascii="Times New Roman"/>
                <w:b w:val="false"/>
                <w:i w:val="false"/>
                <w:color w:val="000000"/>
                <w:sz w:val="20"/>
              </w:rPr>
              <w:t>
кадрлар даярлау бағыты бойынша оқытушылардың жалпы санынан негізгі жұмыс орны лицензиат болып табылатын,"ғылым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университеттер, академиялар, институттар үшін кемінде - 40 %;</w:t>
            </w:r>
          </w:p>
          <w:p>
            <w:pPr>
              <w:spacing w:after="20"/>
              <w:ind w:left="20"/>
              <w:jc w:val="both"/>
            </w:pPr>
            <w:r>
              <w:rPr>
                <w:rFonts w:ascii="Times New Roman"/>
                <w:b w:val="false"/>
                <w:i w:val="false"/>
                <w:color w:val="000000"/>
                <w:sz w:val="20"/>
              </w:rPr>
              <w:t>
кадрлар даярлау бағыты бойынша оқытушылардың жалпы санынан "магистр" дәрежесі бар және/немесе резидентураны бітірген, негізгі жұмыс орны лицензиат болып табылатын, дәрігердің жоғары/бірінші біліктілік санаты бар оқытушылардың үлесі - кемінде 60%;</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үлесі кемінде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кітапхана қорының болуы: соңғы он жыл ішінде кадрларды даярлау бағытындағы білім беру бағдарламасы пәндерінің 100%-ын қамтамасыз ететін, оның ішінде оқыту тілі бойынша баспадан шығарылған басылымдар форматында.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оқу корпустарының жабдықталған медициналық пункттермен қамтамасыз етілуі.</w:t>
            </w:r>
          </w:p>
          <w:p>
            <w:pPr>
              <w:spacing w:after="20"/>
              <w:ind w:left="20"/>
              <w:jc w:val="both"/>
            </w:pPr>
            <w:r>
              <w:rPr>
                <w:rFonts w:ascii="Times New Roman"/>
                <w:b w:val="false"/>
                <w:i w:val="false"/>
                <w:color w:val="000000"/>
                <w:sz w:val="20"/>
              </w:rPr>
              <w:t>
Медициналық қызметке лицензияның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 білім алушылар үшін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пункттермен қамтамасыз етілгені және медициналық қызметке лицензияның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білім алушылары үшін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уәкілетті орган бекіткен санитариялық ережелер мен нормаларға сәйкес тамақтандыру объектісінің болуы туралы мәлімет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611 бұйрықпен бекітілген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білім беру ұйымдарының жайларында және (немесе) іргелес аумақтарда бейнебақылауды қамтамасыз ету.</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кадрларды даярлау бағыты бойынша меншікті не шаруашылық жүргізу не жедел басқару құқығына тиесілі клиникалармен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(оқу корпустарына) және клиникаға шаруашылық жүргізу немесе жедел басқару немесе сенімгерлік басқару құқығын растайтын құжаттардың көшірмелері.</w:t>
            </w:r>
          </w:p>
          <w:p>
            <w:pPr>
              <w:spacing w:after="20"/>
              <w:ind w:left="20"/>
              <w:jc w:val="both"/>
            </w:pPr>
            <w:r>
              <w:rPr>
                <w:rFonts w:ascii="Times New Roman"/>
                <w:b w:val="false"/>
                <w:i w:val="false"/>
                <w:color w:val="000000"/>
                <w:sz w:val="20"/>
              </w:rPr>
              <w:t>
Санитариялық-эпидемиологиялық қорытындының көшірмесі; өрт қауіпсіздігіне сәйкестігі туралы тексеру нәтижесінің акт көшірмесі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ерекше білім беру қажеттіліктері бар адамдар үшін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мүгедектердің автокөліктерін қою үшін орындар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№79 бұйрықпен бекітілген бағдарламалық-аппараттық кешенге және қолданбалы қамтамасыз етуге қойылатын ең төменгі талаптарға сәйкес келетін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w:t>
            </w:r>
          </w:p>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Ұлттық білім беру деректер қорының нақты деректерімен сәйкестігі.</w:t>
            </w:r>
          </w:p>
          <w:p>
            <w:pPr>
              <w:spacing w:after="20"/>
              <w:ind w:left="20"/>
              <w:jc w:val="both"/>
            </w:pPr>
            <w:r>
              <w:rPr>
                <w:rFonts w:ascii="Times New Roman"/>
                <w:b w:val="false"/>
                <w:i w:val="false"/>
                <w:color w:val="000000"/>
                <w:sz w:val="20"/>
              </w:rPr>
              <w:t>
edu.kz аймағында үшінші деңгейдегі домендік атаудың болуы.</w:t>
            </w:r>
          </w:p>
          <w:p>
            <w:pPr>
              <w:spacing w:after="20"/>
              <w:ind w:left="20"/>
              <w:jc w:val="both"/>
            </w:pPr>
            <w:r>
              <w:rPr>
                <w:rFonts w:ascii="Times New Roman"/>
                <w:b w:val="false"/>
                <w:i w:val="false"/>
                <w:color w:val="000000"/>
                <w:sz w:val="20"/>
              </w:rPr>
              <w:t>
Медициналық бағыт бойынша кадрларды даярлау үшін манекендермен, муляждармен және т.б. жабдықталған Практикалық дағдылар орталығының (симулициялық орталықтың)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жоғары білімі бар мамандарды даярлауға арналған мемлекеттік тапсырысты бекіту жөніндегі Қазақстан Республикасы Үкіметінің 2018 жылғы 16 сәуірдегі № 199 қаулысымен бекітілген тиісті оқу жылына арналған мемлекеттік білім беру тапсырысы құнының кемінде 30% - ын құрайтын ақылы негізде бір білім алушыға білім беру ұйымдарының ең төменгі шығындарының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ең төменгі шығындардың сәйкестігі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кемiнде бiр рет оқытушылардың біліктілігін арттыруды қамтамасыз ету;</w:t>
            </w:r>
          </w:p>
          <w:p>
            <w:pPr>
              <w:spacing w:after="20"/>
              <w:ind w:left="20"/>
              <w:jc w:val="both"/>
            </w:pPr>
            <w:r>
              <w:rPr>
                <w:rFonts w:ascii="Times New Roman"/>
                <w:b w:val="false"/>
                <w:i w:val="false"/>
                <w:color w:val="000000"/>
                <w:sz w:val="20"/>
              </w:rPr>
              <w:t>
Білім беру ұйымдарының басшылары үшін бес жылда кемінде бір рет менеджмент саласында біліктілікті арттыру;</w:t>
            </w:r>
          </w:p>
          <w:p>
            <w:pPr>
              <w:spacing w:after="20"/>
              <w:ind w:left="20"/>
              <w:jc w:val="both"/>
            </w:pPr>
            <w:r>
              <w:rPr>
                <w:rFonts w:ascii="Times New Roman"/>
                <w:b w:val="false"/>
                <w:i w:val="false"/>
                <w:color w:val="000000"/>
                <w:sz w:val="20"/>
              </w:rPr>
              <w:t>
"Педагогикалық ғылымдар" кадрлар даярлау бағыты бойынша білім беру саласындағы уәкілетті орган бекіткен талаптарға сәйкес;</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 даярлау бағыты бойынша денсаулық сақтау саласындағы уәкілетті орган бекіткен талаптарға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біліктілік арттыруы оқытылатын пәндердің бейініне немесе оқыту әдістемесіне сәйкес өткізіледі.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жұмыс өтілі бар студенттердің диплом жұмыстарына (жобаларына) жетекшілік ететін Ұлттық біліктілік шеңберінің 8 деңгейіне сәйкес келетін тиісті бейін бойынша оқытушыларды және (немесе) мамандарды басқаруды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сұратылған бағытының тиісті бейіні бойынша оқытушылардың және (немесе) Ұлттық біліктілік шеңберінің 8-деңгейіне сәйкес келетін мамандардың ғылыми жетекшілікті жүзеге асыруы туралы мәліметтер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"Педагогикалық ғылымдар" кадрларды даярлау бағыты үшін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Бұл ретте "Денсаулық сақтау және әлеуметтік қамтамасыз ету (медицина)" кадрларды даярлау үшін жетекші шетелдік медициналық білім беру ұйымдарымен стратегиялық әріптестік туралы шарттардың болуы. /қонақ үйлер)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кадрларды даярлау бағыты үшін "Педагогикалық ғылымдар"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кадрларды даярлау үшін" Денсаулық сақтау және әлеуметтік қамтамасыз ету (медицина) " - шетелдік жетекші медициналық білім беру ұйымдарымен стратегиялық әріптестік туралы шарттардың болуы.</w:t>
            </w:r>
          </w:p>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стратегиялық әріптестік туралы жасалған шарттардың көшірмелері.</w:t>
            </w:r>
          </w:p>
          <w:p>
            <w:pPr>
              <w:spacing w:after="20"/>
              <w:ind w:left="20"/>
              <w:jc w:val="both"/>
            </w:pPr>
            <w:r>
              <w:rPr>
                <w:rFonts w:ascii="Times New Roman"/>
                <w:b w:val="false"/>
                <w:i w:val="false"/>
                <w:color w:val="000000"/>
                <w:sz w:val="20"/>
              </w:rPr>
              <w:t>
Шарт практикадан өту кезінде жарамды болуы тиіс және шарттың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-кемінде 50%;</w:t>
            </w:r>
          </w:p>
          <w:p>
            <w:pPr>
              <w:spacing w:after="20"/>
              <w:ind w:left="20"/>
              <w:jc w:val="both"/>
            </w:pPr>
            <w:r>
              <w:rPr>
                <w:rFonts w:ascii="Times New Roman"/>
                <w:b w:val="false"/>
                <w:i w:val="false"/>
                <w:color w:val="000000"/>
                <w:sz w:val="20"/>
              </w:rPr>
              <w:t>
"Педагогикалық ғылымдар" кадрлар даярлау бағыты үшін - кемінде 60%</w:t>
            </w:r>
          </w:p>
          <w:p>
            <w:pPr>
              <w:spacing w:after="20"/>
              <w:ind w:left="20"/>
              <w:jc w:val="both"/>
            </w:pPr>
            <w:r>
              <w:rPr>
                <w:rFonts w:ascii="Times New Roman"/>
                <w:b w:val="false"/>
                <w:i w:val="false"/>
                <w:color w:val="000000"/>
                <w:sz w:val="20"/>
              </w:rPr>
              <w:t>
Бұл ретте, жұмысқа орналасқан түлектер санына күндізгі оқыту нысанында екінші жоғары білім бағдарламасы бойынша магистратурада немесе докторантурада оқуын жалғастырған бітірушілер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білім алушылар санынан басқа қаладан келген білім алушылардың кемінде 70%-ының тұруы үшін (жатақаналар/ хостелдер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мәліметтерінің нақты деректерге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хостелдермен/ қонақ үйлермен шарттардың болуы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кадрларды даярлаудың тиісті бағыты бойынша соңғы 2 жылда білім алушыларды үздіксіз қабылдауды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сондай-ақ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білімнің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бағдарламаларының тізіліміне енгізілген білім беру бағдарламасының, оқу жоспарының қазақ және орыс тілдеріндегі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мемлекеттік жалпыға міндетті білім беру стандартына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әріптес-ЖОО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ЖОО мәртебесі бойынша нормаларды қарастыратын ынтымақтастық туралы келісімдердің көшірмелері.</w:t>
            </w:r>
          </w:p>
          <w:p>
            <w:pPr>
              <w:spacing w:after="20"/>
              <w:ind w:left="20"/>
              <w:jc w:val="both"/>
            </w:pPr>
            <w:r>
              <w:rPr>
                <w:rFonts w:ascii="Times New Roman"/>
                <w:b w:val="false"/>
                <w:i w:val="false"/>
                <w:color w:val="000000"/>
                <w:sz w:val="20"/>
              </w:rPr>
              <w:t>
Келісім практикадан өту кезінде жарамды болуы тиіс және келісімнің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ғылым докторы және/немесе ғылым кандидаты және/немесе философия докторы (PhD) ғылыми дәрежелері бар төрт оқытушының болуы, оның ішінде кадрлар даярлау бағыты бойынша білім беру бағдарламасына сәйкес кемінде бір ғылым докторының немесе философия (PhD) докторының болуы;</w:t>
            </w:r>
          </w:p>
          <w:p>
            <w:pPr>
              <w:spacing w:after="20"/>
              <w:ind w:left="20"/>
              <w:jc w:val="both"/>
            </w:pPr>
            <w:r>
              <w:rPr>
                <w:rFonts w:ascii="Times New Roman"/>
                <w:b w:val="false"/>
                <w:i w:val="false"/>
                <w:color w:val="000000"/>
                <w:sz w:val="20"/>
              </w:rPr>
              <w:t>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w:t>
            </w:r>
          </w:p>
          <w:p>
            <w:pPr>
              <w:spacing w:after="20"/>
              <w:ind w:left="20"/>
              <w:jc w:val="both"/>
            </w:pPr>
            <w:r>
              <w:rPr>
                <w:rFonts w:ascii="Times New Roman"/>
                <w:b w:val="false"/>
                <w:i w:val="false"/>
                <w:color w:val="000000"/>
                <w:sz w:val="20"/>
              </w:rPr>
              <w:t>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университеттер, институттар, академиялар үшін - кемінде 70%; кадрлар даярлау бағыты бойынша оқытушылардың жалпы санынан негізгі жұмыс орны лицензиат болып табылатын "магистр" дәрежесі бар оқытушылардың үлесі -30%-дан артық емес;</w:t>
            </w:r>
          </w:p>
          <w:p>
            <w:pPr>
              <w:spacing w:after="20"/>
              <w:ind w:left="20"/>
              <w:jc w:val="both"/>
            </w:pPr>
            <w:r>
              <w:rPr>
                <w:rFonts w:ascii="Times New Roman"/>
                <w:b w:val="false"/>
                <w:i w:val="false"/>
                <w:color w:val="000000"/>
                <w:sz w:val="20"/>
              </w:rPr>
              <w:t>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университеттер, институттар, академиялар үшін - 50% -дан кем емес;</w:t>
            </w:r>
          </w:p>
          <w:p>
            <w:pPr>
              <w:spacing w:after="20"/>
              <w:ind w:left="20"/>
              <w:jc w:val="both"/>
            </w:pPr>
            <w:r>
              <w:rPr>
                <w:rFonts w:ascii="Times New Roman"/>
                <w:b w:val="false"/>
                <w:i w:val="false"/>
                <w:color w:val="000000"/>
                <w:sz w:val="20"/>
              </w:rPr>
              <w:t>
кадрларды даярлау бағыты бойынша оқытушылардың жалпы санынан негізгі жұмыс орны лицензиат болып табылатын "магистр" дәрежесі бар оқытушылардың үлесі- 50 % -дан артық емес;</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 даярлау бағыты бойынша:</w:t>
            </w:r>
          </w:p>
          <w:p>
            <w:pPr>
              <w:spacing w:after="20"/>
              <w:ind w:left="20"/>
              <w:jc w:val="both"/>
            </w:pPr>
            <w:r>
              <w:rPr>
                <w:rFonts w:ascii="Times New Roman"/>
                <w:b w:val="false"/>
                <w:i w:val="false"/>
                <w:color w:val="000000"/>
                <w:sz w:val="20"/>
              </w:rPr>
              <w:t>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университеттер, институттар, академиялар үшін - кемінде 50%;</w:t>
            </w:r>
          </w:p>
          <w:p>
            <w:pPr>
              <w:spacing w:after="20"/>
              <w:ind w:left="20"/>
              <w:jc w:val="both"/>
            </w:pPr>
            <w:r>
              <w:rPr>
                <w:rFonts w:ascii="Times New Roman"/>
                <w:b w:val="false"/>
                <w:i w:val="false"/>
                <w:color w:val="000000"/>
                <w:sz w:val="20"/>
              </w:rPr>
              <w:t>
кадрлар даярлау бағыты бойынша оқытушылардың жалпы санынан негізгі жұмыс орны лицензиат болып табылатын "магистр" дәрежесі бар және/немесе резидентура бітірген, дәрігердің жоғары/бірінші біліктілік санатты бар оқытушылардың үлесі - 50%-дан артық емес;</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-кемінде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оқу корпустарының жабдықталған медициналық пункттермен қамтамасыз етілуі.</w:t>
            </w:r>
          </w:p>
          <w:p>
            <w:pPr>
              <w:spacing w:after="20"/>
              <w:ind w:left="20"/>
              <w:jc w:val="both"/>
            </w:pPr>
            <w:r>
              <w:rPr>
                <w:rFonts w:ascii="Times New Roman"/>
                <w:b w:val="false"/>
                <w:i w:val="false"/>
                <w:color w:val="000000"/>
                <w:sz w:val="20"/>
              </w:rPr>
              <w:t>
Медициналық қызмет көрсетуге лицензияның болуы.</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арналған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611 бұйрықпен бекітілген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білім беру ұйымдарының жайларында және (немесе) іргелес аумақтарда бейнебақылаудың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алаңдары,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көшірмелері.</w:t>
            </w:r>
          </w:p>
          <w:p>
            <w:pPr>
              <w:spacing w:after="20"/>
              <w:ind w:left="20"/>
              <w:jc w:val="both"/>
            </w:pPr>
            <w:r>
              <w:rPr>
                <w:rFonts w:ascii="Times New Roman"/>
                <w:b w:val="false"/>
                <w:i w:val="false"/>
                <w:color w:val="000000"/>
                <w:sz w:val="20"/>
              </w:rPr>
              <w:t>
Санитариялық-эпидемиологиялық тексеру қорытындының көшірмесі; өрт қауіпсіздігіне сәйкестігі туралы тексеру нәтижесі туралы акт көшірмесі;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 мен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w:t>
            </w:r>
          </w:p>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ҰБДҚ-ның нақты деректермен сәйкестігі.</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жасалған шарттарға сәйкес қаржыландырылатын ғылыми-зерттеу және тәжірибелік-конструкторлық жұмыстармен қамтамасыз 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ұйымдармен және кәсіпорындармен жасалған шарттардың көшірмелері.</w:t>
            </w:r>
          </w:p>
          <w:p>
            <w:pPr>
              <w:spacing w:after="20"/>
              <w:ind w:left="20"/>
              <w:jc w:val="both"/>
            </w:pPr>
            <w:r>
              <w:rPr>
                <w:rFonts w:ascii="Times New Roman"/>
                <w:b w:val="false"/>
                <w:i w:val="false"/>
                <w:color w:val="000000"/>
                <w:sz w:val="20"/>
              </w:rPr>
              <w:t>
Шарт оқу кезінде әрекет ететін болуы тиіс және шарттың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магистранттарда ғылым докторы немесе ғылым кандидаты немесе философия докторы (PhD) немесе бейіні бойынша доктор ғылыми дәрежесі бар оқытушының немесе подполковниктен төмен емес әскери (арнайы атағы, сыныптық шені) немесе судья немесе отставкадағы судья немесе негізгі жұмыс орны лицензиат болып табылатын, кадрларды даярлау бағыты бойынша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авторы болып табылатын ғылым саласына сәйкес келетін білікті маманның ғылыми жетекшілікті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практикадан өту үшін отандық ұйымдармен келісілген шарттармен және шетелдік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w:t>
            </w:r>
          </w:p>
          <w:p>
            <w:pPr>
              <w:spacing w:after="20"/>
              <w:ind w:left="20"/>
              <w:jc w:val="both"/>
            </w:pPr>
            <w:r>
              <w:rPr>
                <w:rFonts w:ascii="Times New Roman"/>
                <w:b w:val="false"/>
                <w:i w:val="false"/>
                <w:color w:val="000000"/>
                <w:sz w:val="20"/>
              </w:rPr>
              <w:t>
Шарт оқыту кезінде жарамды болуы тиіс және шарттың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647 бұйрықпен бекітілген жоғары оқу орнынан кейінгі білім берудің мемлекеттік жалпыға міндетті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647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оқу корпустарының жабдықталған медициналық пункттермен қамтамасыз етілуі. Медициналық қызметке лицензияның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611 бұйрықпен бекітілген санитариялық нормаларға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w:t>
            </w:r>
          </w:p>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ҰБДҚ-ның нақты деректерге сәйкестігі.</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халықаралық конференция еңбектерінде 4 ғылыми жарияланымның авторы болып табылатын және оқу құралдары бар бір маманның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бағытқа сәйкес ғылыми жетекшілікті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 ғылыми-педагогикалық өтілі 3 жылдан кем емес, уәкілетті орган ұсынған отандық ғылыми журналдарда және халықаралық ғылыми басылымдарда соңғы бес жылда 4 ғылыми жарияланымның, сондай-ақ оқулықтың не оқу құралының авторы болып табылатын резиденттердің, жетекші мамандардың , оқытушылардың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базасы ретінде айқындалған ұйымдармен (ғылыми ұйымдарды қоспағанда) және жетекші шетелдік медициналық білім беру ұйымдарымен стратегиялық әріптестік туралы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611 бұйрықпен бекітілген санитариялық нормаларға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алған немесе лицензияны қайта ресімдеген кезде алаңды есептеу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11-қосымшаға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"Денсаулық сақтау және әлеуметтік қамтамасыз ету (медицина)"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 647 бұйрықпен бекітілген жоғары білім берудің мемлекеттік жалпыға міндетті стандартына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бұйрығымен бекітілген және (немесе) № 647 бұйрығымен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жоспарының № 604 бұйрықпен бекітілген және (немесе) № 647 бұйрықпен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 немесе "ғылым докторы" немесе "философия докторы (РhD)" немесе "бейіні бойынша доктор" ғылыми дәрежесінің немесе "философия докторы (РhD)" немесе "бейіні бойынша доктор" немесе "философия докторы (РhD)" немесе "бейіні бойынша доктор" және/немесе "қауымдастырылған профессор (доцент), немесе "профессор" ғылыми атағының оқытылатын пәндер бейініне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оқу корпустарының жабдықталған медициналық пункттермен қамтамасыз етілуі.</w:t>
            </w:r>
          </w:p>
          <w:p>
            <w:pPr>
              <w:spacing w:after="20"/>
              <w:ind w:left="20"/>
              <w:jc w:val="both"/>
            </w:pPr>
            <w:r>
              <w:rPr>
                <w:rFonts w:ascii="Times New Roman"/>
                <w:b w:val="false"/>
                <w:i w:val="false"/>
                <w:color w:val="000000"/>
                <w:sz w:val="20"/>
              </w:rPr>
              <w:t>
Медициналық қызмет көрсетуге лицензияның болуы.</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ұлттық қауіпсіздік органдарына,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алушыларды тамақтандыру объектісінің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611 бұйрықпен бекітілген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білім беру ұйымдарының жайларында және (немесе) іргелес аумақтарда бейнебақылаудың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материалдық-техникалық және оқу-зертханалық базамен, кадрлар даярлау бағытының білім беру бағдарламасына сәйкес білім беру бағдарламаларын іске асыру үшін қажетті жабдықтармен жарақтандырылуы.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ҰБДҚ нақты деректеріне сәйкестігі.</w:t>
            </w:r>
          </w:p>
          <w:p>
            <w:pPr>
              <w:spacing w:after="20"/>
              <w:ind w:left="20"/>
              <w:jc w:val="both"/>
            </w:pPr>
            <w:r>
              <w:rPr>
                <w:rFonts w:ascii="Times New Roman"/>
                <w:b w:val="false"/>
                <w:i w:val="false"/>
                <w:color w:val="000000"/>
                <w:sz w:val="20"/>
              </w:rPr>
              <w:t>
edu.kz аймағындаүшінші деңгейдегі домендік атаудың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жасасқан шарттары негізінде қаржыландырылатын ғылыми-зерттеу және тәжірибелік-конструкторлық жұмыстармен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w:t>
            </w:r>
          </w:p>
          <w:p>
            <w:pPr>
              <w:spacing w:after="20"/>
              <w:ind w:left="20"/>
              <w:jc w:val="both"/>
            </w:pPr>
            <w:r>
              <w:rPr>
                <w:rFonts w:ascii="Times New Roman"/>
                <w:b w:val="false"/>
                <w:i w:val="false"/>
                <w:color w:val="000000"/>
                <w:sz w:val="20"/>
              </w:rPr>
              <w:t>
Техникалық ерекшелік және күнтізбелік жұмыс жоспары қосымшалары бар шарт оқу кезінде әрекет етуі тиіс және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w:t>
            </w:r>
          </w:p>
          <w:p>
            <w:pPr>
              <w:spacing w:after="20"/>
              <w:ind w:left="20"/>
              <w:jc w:val="both"/>
            </w:pPr>
            <w:r>
              <w:rPr>
                <w:rFonts w:ascii="Times New Roman"/>
                <w:b w:val="false"/>
                <w:i w:val="false"/>
                <w:color w:val="000000"/>
                <w:sz w:val="20"/>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кадрларды даярлау бағыттары бойынша WebofScienceCoreCollection (Вэб оф Сайнс Кор коллекция), JCR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w:t>
            </w:r>
          </w:p>
          <w:p>
            <w:pPr>
              <w:spacing w:after="20"/>
              <w:ind w:left="20"/>
              <w:jc w:val="both"/>
            </w:pPr>
            <w:r>
              <w:rPr>
                <w:rFonts w:ascii="Times New Roman"/>
                <w:b w:val="false"/>
                <w:i w:val="false"/>
                <w:color w:val="000000"/>
                <w:sz w:val="20"/>
              </w:rPr>
              <w:t>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Social Science CitationIndex немесе Webof Science Core Collection (Вэб оф Сайнс Кор)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және кадрларды даярлаудың тиісті бағыты, шетелдік консультанттарды тарту және бірлескен ғылыми жобаларды іске асыру бойынша әріптес жоғары оқу орнының мәртебесі бойынша нормаларды көздейтін ынтымақтастық туралы шарттардың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ЖОО мәртебесі бойынша нормаларды көздейтін аккредиттелген шетелдік жоғары оқу орындарымен ғылыми алмасу туралы шарттардың көшірмелері.</w:t>
            </w:r>
          </w:p>
          <w:p>
            <w:pPr>
              <w:spacing w:after="20"/>
              <w:ind w:left="20"/>
              <w:jc w:val="both"/>
            </w:pPr>
            <w:r>
              <w:rPr>
                <w:rFonts w:ascii="Times New Roman"/>
                <w:b w:val="false"/>
                <w:i w:val="false"/>
                <w:color w:val="000000"/>
                <w:sz w:val="20"/>
              </w:rPr>
              <w:t>
Келісім оқу кезінде қолданыста болуға тиіс және келісімнің мерзімін ұзарту туралы тармақты қамтуы мүмкін.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ғылыми-техникалық, ғылыми-әдістемелік, клиникалық, эксперименталдық базалардың болуы туралы мәліметтер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жасалған шарттармен және шетелдік ғылыми тағылымдамадан өтуге арналған шарттармен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w:t>
            </w:r>
          </w:p>
          <w:p>
            <w:pPr>
              <w:spacing w:after="20"/>
              <w:ind w:left="20"/>
              <w:jc w:val="both"/>
            </w:pPr>
            <w:r>
              <w:rPr>
                <w:rFonts w:ascii="Times New Roman"/>
                <w:b w:val="false"/>
                <w:i w:val="false"/>
                <w:color w:val="000000"/>
                <w:sz w:val="20"/>
              </w:rPr>
              <w:t>
Шарт оқу кезінде жарамды болуға тиіс және шарттың мерзімін ұзарту туралы тармақты қамтуы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 және әлеуметтік қамтамасыз ету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қолданылатын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тоқтатылған, қайта жаңартылған және қолданылуын тоқтатқан лицензиаттардың лицензиялары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автоматты түрде жинауға (енгізуге), өңдеуге, өзектілендіруге,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жасақталуы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өндірістік оқыту шеберлері үшін соңғы 5 жылда кемінде 1 жыл өндірістік өтілі бар (өнірістің, ұйымның атауы, жұмыс өтілі)немесе бейіні бойынша соңғы 3 жылда кемінде 72 сағат көлемінде ұйымдарда және/немесе өндірісте тағылымдамадан өтуі (өнірістің, ұйымның атауы,оқу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және ғылыми әдебиеттер қорының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Санитариялық қағидалар мен нормаларға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білім беру ұйымының үй-жайларында және іргелес жатқан аумақтарында бейнебақылаудың болуы, тұру үшін жағдай жасау) және өзге мақсаттағы үй-жайлардың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медициналық бағыты бойынша кадрлар даярлау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Тиісті оқу жылына арналған бір білім алушыға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_________________(Тегі, аты, әкесінің аты</w:t>
      </w:r>
    </w:p>
    <w:p>
      <w:pPr>
        <w:spacing w:after="0"/>
        <w:ind w:left="0"/>
        <w:jc w:val="both"/>
      </w:pPr>
      <w:r>
        <w:rPr>
          <w:rFonts w:ascii="Times New Roman"/>
          <w:b w:val="false"/>
          <w:i w:val="false"/>
          <w:color w:val="000000"/>
          <w:sz w:val="28"/>
        </w:rPr>
        <w:t>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