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ccde" w14:textId="845c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объектілерінің қорғалуы мен пайдаланылуына тәуекел дәрежесін бағалау өлшемшарттарын және тексеру парағын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6 мамырдағы № 113 және Қазақстан Республикасы Ұлттық экономика министрінің 2020 жылғы 6 мамырдағы № 37 бірлескен бұйрығы. Қазақстан Республикасының Әділет министрлігінде 2020 жылғы 10 мамырда № 20604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"Тарихи-мәдени мұра объектілерінің қорғалуы мен пайдаланылуына тәуекел дәрежесін бағалау өлшемшарттарын және тексеру парағын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(Нормативтiк құқықтық актiлердi мемлекеттiк тiркеудің тiзiлiмiнде № 13979 болып тiркелген, 2016 жылғы 4 тамызда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тарихи-мәдени мұра объектілерін қорғау және пайдалану саласындағы тәуекел дәрежесін бағалау өлшемшарттары;</w:t>
      </w:r>
    </w:p>
    <w:bookmarkEnd w:id="4"/>
    <w:bookmarkStart w:name="z8" w:id="5"/>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органның бақылауды жүзеге асыруы үшін тарихи-мәденимұра объектiлерiн қорғау және пайдалану саласындағы тексеру парағының нысаны;</w:t>
      </w:r>
    </w:p>
    <w:bookmarkEnd w:id="5"/>
    <w:bookmarkStart w:name="z9" w:id="6"/>
    <w:p>
      <w:pPr>
        <w:spacing w:after="0"/>
        <w:ind w:left="0"/>
        <w:jc w:val="both"/>
      </w:pPr>
      <w:r>
        <w:rPr>
          <w:rFonts w:ascii="Times New Roman"/>
          <w:b w:val="false"/>
          <w:i w:val="false"/>
          <w:color w:val="000000"/>
          <w:sz w:val="28"/>
        </w:rPr>
        <w:t>
      3) осы бірлескен бұйрыққа 3-қосымшаға сәйкес жергілікті атқарушы органның бақылауды жүзеге асыруы үшін тарихи-мәдени мұра объектiлерiн қорғау және пайдалану саласындағы тексеру парағының нысаны бекітілсін.";</w:t>
      </w:r>
    </w:p>
    <w:bookmarkEnd w:id="6"/>
    <w:bookmarkStart w:name="z10" w:id="7"/>
    <w:p>
      <w:pPr>
        <w:spacing w:after="0"/>
        <w:ind w:left="0"/>
        <w:jc w:val="both"/>
      </w:pPr>
      <w:r>
        <w:rPr>
          <w:rFonts w:ascii="Times New Roman"/>
          <w:b w:val="false"/>
          <w:i w:val="false"/>
          <w:color w:val="000000"/>
          <w:sz w:val="28"/>
        </w:rPr>
        <w:t xml:space="preserve">
      көрсетілген бірлескен бұйрықпен бекітілген тарихи-мәдени мұра объектілерінің қорғалуы мен пайдаланылуына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тәуекел дәрежесін бағалау өлшемшарттары";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тәуекел дәрежесін бағалау өлшемшарттары (бұдан әрі - Өлшемшарттар) - Қазақстан Республикасының 2015 жылғы 29 қазандағы Кәсіпкерлік кодексінің (бұдан әрі -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сонымен қатар Қазақстан Республикасы Ұлттық экономика министрі міндетін атқарушысының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қалыптастыру қағидаларына және тексеру парақтарының нысанына (Нормативтік құқықтық актілерді мемлекеттік тіркеу тізілімінде № 17371 болып тіркелген) сәйкес әзірленді және тарихи-мәдени мұра объектілерін қорғау және пайдалану саласында уәкілетті органның (бұдан әрі - уәкілетті орган) және облыстардың, республикалық маңызы бар қалалардың, астананың жергілікті атқарушы органдардың (бұдан әрі - жергілікті атқарушы органдар) бақылау субъектілерін (объектілерді) іріктеу үшін және оларды бақылау субъектісіне (объектісіне) бару арқылы профилактикалық бақылау жүргізу кезінде тәуекелдер дәрежесіне жатқызуға арналған.";</w:t>
      </w:r>
    </w:p>
    <w:bookmarkEnd w:id="9"/>
    <w:bookmarkStart w:name="z15"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тармақшылары</w:t>
      </w:r>
      <w:r>
        <w:rPr>
          <w:rFonts w:ascii="Times New Roman"/>
          <w:b w:val="false"/>
          <w:i w:val="false"/>
          <w:color w:val="000000"/>
          <w:sz w:val="28"/>
        </w:rPr>
        <w:t xml:space="preserve"> мынадай редакцияда жазылсын:</w:t>
      </w:r>
    </w:p>
    <w:bookmarkEnd w:id="10"/>
    <w:bookmarkStart w:name="z16" w:id="11"/>
    <w:p>
      <w:pPr>
        <w:spacing w:after="0"/>
        <w:ind w:left="0"/>
        <w:jc w:val="both"/>
      </w:pPr>
      <w:r>
        <w:rPr>
          <w:rFonts w:ascii="Times New Roman"/>
          <w:b w:val="false"/>
          <w:i w:val="false"/>
          <w:color w:val="000000"/>
          <w:sz w:val="28"/>
        </w:rPr>
        <w:t>
      "1) бақылау субъектілері (объектілері) - тарихи-мәдени мұра объектілерін қорғау және пайдалану саласына қатысты олардың қызметіне бақылау жүргізілетін жеке және заңды тұлғалар, оның ішінде жергілікті атқарушы органдармен;</w:t>
      </w:r>
    </w:p>
    <w:bookmarkEnd w:id="11"/>
    <w:bookmarkStart w:name="z17" w:id="12"/>
    <w:p>
      <w:pPr>
        <w:spacing w:after="0"/>
        <w:ind w:left="0"/>
        <w:jc w:val="both"/>
      </w:pPr>
      <w:r>
        <w:rPr>
          <w:rFonts w:ascii="Times New Roman"/>
          <w:b w:val="false"/>
          <w:i w:val="false"/>
          <w:color w:val="000000"/>
          <w:sz w:val="28"/>
        </w:rPr>
        <w:t>
      2) болмашы бұзушылықтар - тарихи-мәдени мұра объектілерін қорғау және пайдалану саласындағы нормативтік құқықтық актілерде белгіленген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режиміне қатысты талаптарды бұзу;</w:t>
      </w:r>
    </w:p>
    <w:bookmarkEnd w:id="12"/>
    <w:bookmarkStart w:name="z18" w:id="13"/>
    <w:p>
      <w:pPr>
        <w:spacing w:after="0"/>
        <w:ind w:left="0"/>
        <w:jc w:val="both"/>
      </w:pPr>
      <w:r>
        <w:rPr>
          <w:rFonts w:ascii="Times New Roman"/>
          <w:b w:val="false"/>
          <w:i w:val="false"/>
          <w:color w:val="000000"/>
          <w:sz w:val="28"/>
        </w:rPr>
        <w:t>
      3) маңызды бұзушылықтар - монументтік өнер құрылыстарын орнату,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қорғау міндеттемелерінде жазылған тарих және мәдениет ескерткішін күтіп-ұстау шарттарын сақтауға қатысты, сондай-ақ тарих және мәдениет ескерткіштерінің сақталуына зиянды әсер ететін шараларға қатысты тарихи-мәдени мұра объектілерін қорғау және пайдалану саласындағы нормативтік құқықтық актілерде белгіленген талаптарды бұзу;</w:t>
      </w:r>
    </w:p>
    <w:bookmarkEnd w:id="13"/>
    <w:bookmarkStart w:name="z19" w:id="14"/>
    <w:p>
      <w:pPr>
        <w:spacing w:after="0"/>
        <w:ind w:left="0"/>
        <w:jc w:val="both"/>
      </w:pPr>
      <w:r>
        <w:rPr>
          <w:rFonts w:ascii="Times New Roman"/>
          <w:b w:val="false"/>
          <w:i w:val="false"/>
          <w:color w:val="000000"/>
          <w:sz w:val="28"/>
        </w:rPr>
        <w:t>
      4) өрескел бұзушылықтар - тарих және мәдениет ескерткіштерінде ғылыми-реставрациялау жұмыстарын жүргізу шарттарын және археологиялық жұмыстарды жүзеге асыру шарттары мен осы қызметті лицензиялауды, халықаралық және республикалық маңызы бар тарих және мәдениет ескерткішінің заңды орнын ауыстыру және оны өзгерту, сондай-ақ олардың жай-күйінің толық жойылуға дейін нашарлауына соқтыратын шараларға қатысты тарихи-мәдени мұра объектілерін қорғау және пайдалану саласындағы нормативтік құқықтық актілерде белгіленген талаптарды бұзу;";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"6. Бақылау субъектілері (объектілері) объективті тәуекел өлшемдері негізінде екі дәрежелі тәуекелге бөлінеді - жоғары және жоғары дәрежеде жатқызылмаған. </w:t>
      </w:r>
    </w:p>
    <w:bookmarkEnd w:id="15"/>
    <w:bookmarkStart w:name="z22" w:id="16"/>
    <w:p>
      <w:pPr>
        <w:spacing w:after="0"/>
        <w:ind w:left="0"/>
        <w:jc w:val="both"/>
      </w:pPr>
      <w:r>
        <w:rPr>
          <w:rFonts w:ascii="Times New Roman"/>
          <w:b w:val="false"/>
          <w:i w:val="false"/>
          <w:color w:val="000000"/>
          <w:sz w:val="28"/>
        </w:rPr>
        <w:t>
      Уәкілетті органмен жүзеге асырылатын бақылау үшін тәуекелдің жоғары дәрежесіне:</w:t>
      </w:r>
    </w:p>
    <w:bookmarkEnd w:id="16"/>
    <w:bookmarkStart w:name="z23" w:id="17"/>
    <w:p>
      <w:pPr>
        <w:spacing w:after="0"/>
        <w:ind w:left="0"/>
        <w:jc w:val="both"/>
      </w:pPr>
      <w:r>
        <w:rPr>
          <w:rFonts w:ascii="Times New Roman"/>
          <w:b w:val="false"/>
          <w:i w:val="false"/>
          <w:color w:val="000000"/>
          <w:sz w:val="28"/>
        </w:rPr>
        <w:t>
      1) жергілікті атқарушы органдар;</w:t>
      </w:r>
    </w:p>
    <w:bookmarkEnd w:id="17"/>
    <w:bookmarkStart w:name="z24" w:id="18"/>
    <w:p>
      <w:pPr>
        <w:spacing w:after="0"/>
        <w:ind w:left="0"/>
        <w:jc w:val="both"/>
      </w:pPr>
      <w:r>
        <w:rPr>
          <w:rFonts w:ascii="Times New Roman"/>
          <w:b w:val="false"/>
          <w:i w:val="false"/>
          <w:color w:val="000000"/>
          <w:sz w:val="28"/>
        </w:rPr>
        <w:t>
      2) тарих және мәдениет ескерткіштерінде ғылыми-реставрациялау жұмыстарын және (немесе) археологиялық жұмыстарды жүзеге асыру жөніндегі қызметке лицензиясы бар лицензиаттар жатады.</w:t>
      </w:r>
    </w:p>
    <w:bookmarkEnd w:id="18"/>
    <w:bookmarkStart w:name="z25" w:id="19"/>
    <w:p>
      <w:pPr>
        <w:spacing w:after="0"/>
        <w:ind w:left="0"/>
        <w:jc w:val="both"/>
      </w:pPr>
      <w:r>
        <w:rPr>
          <w:rFonts w:ascii="Times New Roman"/>
          <w:b w:val="false"/>
          <w:i w:val="false"/>
          <w:color w:val="000000"/>
          <w:sz w:val="28"/>
        </w:rPr>
        <w:t>
      Жергілікті атқарушы органдармен жүзеге асырылатын бақылау үшін тарихи-мәдени мұра объектілерін қорғау және пайдалану жөніндегі қызметті жүзеге асыратын жергілікті атқарушы органдардың құрылымдық бөлімшелері жатады.</w:t>
      </w:r>
    </w:p>
    <w:bookmarkEnd w:id="19"/>
    <w:bookmarkStart w:name="z26" w:id="20"/>
    <w:p>
      <w:pPr>
        <w:spacing w:after="0"/>
        <w:ind w:left="0"/>
        <w:jc w:val="both"/>
      </w:pPr>
      <w:r>
        <w:rPr>
          <w:rFonts w:ascii="Times New Roman"/>
          <w:b w:val="false"/>
          <w:i w:val="false"/>
          <w:color w:val="000000"/>
          <w:sz w:val="28"/>
        </w:rPr>
        <w:t>
      Тәуекелдің жоғары дәрежесіне жатқызылмаған тарих және мәдениет ескерткіштерін пайдаланушылар болып табылатын жеке және заңды тұлғалар жатады.";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"10. Бақылау субъектілерінің тәуекел дәрежесін бағалау және оларды тәуекел дәрежесінің болмашы, маңызды немесе өрескел тобына жатқызу тарихи-мәдени мұра объектілерін қорғау және пайдалану саласындағы тәуекел дәрежесін бағалаудың субъективті өлшемшарттарына сәйкес осы Өлшемшарттарға қосымшаға сәйкес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3" w:id="2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3-қосымшамен толықтырылсын.</w:t>
      </w:r>
    </w:p>
    <w:bookmarkEnd w:id="23"/>
    <w:bookmarkStart w:name="z30" w:id="2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4"/>
    <w:bookmarkStart w:name="z31" w:id="25"/>
    <w:p>
      <w:pPr>
        <w:spacing w:after="0"/>
        <w:ind w:left="0"/>
        <w:jc w:val="both"/>
      </w:pPr>
      <w:r>
        <w:rPr>
          <w:rFonts w:ascii="Times New Roman"/>
          <w:b w:val="false"/>
          <w:i w:val="false"/>
          <w:color w:val="000000"/>
          <w:sz w:val="28"/>
        </w:rPr>
        <w:t>
      1) осы бірлескен бұйрықтың Қазақстан Республикасының Әдiлет министрлiгiнде мемлекеттiк тiркелуін;</w:t>
      </w:r>
    </w:p>
    <w:bookmarkEnd w:id="25"/>
    <w:bookmarkStart w:name="z32" w:id="26"/>
    <w:p>
      <w:pPr>
        <w:spacing w:after="0"/>
        <w:ind w:left="0"/>
        <w:jc w:val="both"/>
      </w:pPr>
      <w:r>
        <w:rPr>
          <w:rFonts w:ascii="Times New Roman"/>
          <w:b w:val="false"/>
          <w:i w:val="false"/>
          <w:color w:val="000000"/>
          <w:sz w:val="28"/>
        </w:rPr>
        <w:t>
      2) осы бірлескен бұйрық қолданысқа енгізілгеннен кейін екі жұмыс күні ішінде оның Қазақстан Республикасы Мәдениет және спорт министрлігінің интернет-ресурсында орналастырылуын;</w:t>
      </w:r>
    </w:p>
    <w:bookmarkEnd w:id="26"/>
    <w:bookmarkStart w:name="z33" w:id="27"/>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27"/>
    <w:bookmarkStart w:name="z34" w:id="28"/>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Мәдениет және спорт вице-министріне жүктелсін. </w:t>
      </w:r>
    </w:p>
    <w:bookmarkEnd w:id="28"/>
    <w:bookmarkStart w:name="z35" w:id="2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Ұлттық экономика министрі </w:t>
            </w:r>
            <w:r>
              <w:br/>
            </w:r>
            <w:r>
              <w:rPr>
                <w:rFonts w:ascii="Times New Roman"/>
                <w:b w:val="false"/>
                <w:i w:val="false"/>
                <w:color w:val="000000"/>
                <w:sz w:val="20"/>
              </w:rPr>
              <w:t>
__________ Р. Даленов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Мәдениет және спорт министрі</w:t>
            </w:r>
            <w:r>
              <w:br/>
            </w:r>
            <w:r>
              <w:rPr>
                <w:rFonts w:ascii="Times New Roman"/>
                <w:b w:val="false"/>
                <w:i w:val="false"/>
                <w:color w:val="000000"/>
                <w:sz w:val="20"/>
              </w:rPr>
              <w:t>
__________ А. Раимкулова</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37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113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37" w:id="30"/>
    <w:p>
      <w:pPr>
        <w:spacing w:after="0"/>
        <w:ind w:left="0"/>
        <w:jc w:val="left"/>
      </w:pPr>
      <w:r>
        <w:rPr>
          <w:rFonts w:ascii="Times New Roman"/>
          <w:b/>
          <w:i w:val="false"/>
          <w:color w:val="000000"/>
        </w:rPr>
        <w:t xml:space="preserve"> Тарихи-мәдени мұра объектілерін қорғау және пайдалану саласындағы тәуекел дәрежесін бағалаудың субъективті өлшемшарттары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0110"/>
        <w:gridCol w:w="919"/>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мен профилактикалық бақылау нәтижелері (бұзушылықтың ауырлық деңгейі төмендегі талаптардың орындалмауы жағдайында қолданылады)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үшін: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асыруға лицензияның болуы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ескерткішінің заңсыз орнын ауыстыру және оны өзгерту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 өнер құрылыстарын орнату қағидаларын бұзу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халықаралық және республикалық маңызы бар тарих және мәдениет ескерткішін күтіп-ұстау шарттарын бұзу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ескерткіштеріндегі ғылыми-реставрациялық жұмыстарды жүргізу шарттарын және археологиялық жұмыстарды жүзеге асыру шарттарын бұзу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үшін: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ескерткішінің заңсыз орнын ауыстыру және оны өзгерту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игеру кезінде жер учаскелері бөліп берілгенге дейін тарихи-мәдени мұра объектілерін анықтау бойынша археологиялық жұмыстарды жүргізу фактілерінің болуы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жергілікті маңызы бар тарих және мәдениет ескерткішін күтіп-ұстау шарттарын бұзу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сақталып тұруына қатер төндіруі мүмкін жұмыстардың жүргізілу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ескерткіштеріндегі ғылыми-реставрациялық жұмыстарды жүргізу шарттарын және археологиялық жұмыстарды жүзеге асыру шарттарын бұзу фактілерінің болмауы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түскен расталған шағымдардың немесе өтініштердің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саласына қатысты бір расталған шағымның немесе өтініштің болуы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екі немесе одан да көп расталған шағымдардың немесе өтініштердің болуы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37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113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Уәкілетті органның бақылауды жүзеге асыруы үшін тарихи-мәдени мұра объектiлерiн қорғау және пайдалану саласындағы тексеру парағы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саласында/аясында 138-бабына сәйкес</w:t>
      </w:r>
    </w:p>
    <w:p>
      <w:pPr>
        <w:spacing w:after="0"/>
        <w:ind w:left="0"/>
        <w:jc w:val="both"/>
      </w:pPr>
      <w:r>
        <w:rPr>
          <w:rFonts w:ascii="Times New Roman"/>
          <w:b w:val="false"/>
          <w:i w:val="false"/>
          <w:color w:val="000000"/>
          <w:sz w:val="28"/>
        </w:rPr>
        <w:t xml:space="preserve">
      ________________________________________________________________________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бақылауды </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(объектісінің)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7551"/>
        <w:gridCol w:w="950"/>
        <w:gridCol w:w="950"/>
        <w:gridCol w:w="950"/>
        <w:gridCol w:w="95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асыруға лицензияның болуы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ескерткішінің заңсыз орнын ауыстыру және оны өзгерту фактілерінің болмауы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болмауы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 өнер құрылыстарын орнату қағидаларын бұзу фактілерінің болмауы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халықаралық және республикалық маңызы бар тарих және мәдениет ескерткішін күтіп-ұстау шарттарын бұзу фактілерінің болмауы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ескерткіштеріндегі ғылыми-реставрациялық жұмыстарды жүргізу шарттарын және археологиялық жұмыстарды жүзеге асыру шарттарын бұзу фактілерінің болмауы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 ________________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6 мамырдағы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6 мамырдағы № 113</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Жергілікті атқарушы органның бақылауды жүзеге асыруы үшін тарихи-мәдени мұра объектiлерiн қорғау және пайдалану саласындағы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саласында/аясында 138-бабына сәйкес</w:t>
      </w:r>
    </w:p>
    <w:p>
      <w:pPr>
        <w:spacing w:after="0"/>
        <w:ind w:left="0"/>
        <w:jc w:val="both"/>
      </w:pPr>
      <w:r>
        <w:rPr>
          <w:rFonts w:ascii="Times New Roman"/>
          <w:b w:val="false"/>
          <w:i w:val="false"/>
          <w:color w:val="000000"/>
          <w:sz w:val="28"/>
        </w:rPr>
        <w:t xml:space="preserve">
      ________________________________________________________________________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бақылауды </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(объектісінің)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7338"/>
        <w:gridCol w:w="992"/>
        <w:gridCol w:w="992"/>
        <w:gridCol w:w="993"/>
        <w:gridCol w:w="99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ескерткішінің заңсыз орнын ауыстыру және оны өзгерту фактілерінің болмауы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игеру кезінде жер учаскелері бөліп берілгенге дейін тарихи-мәдени мұра объектілерін анықтау бойынша археологиялық жұмыстарды жүргізу фактілерінің болуы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болмауы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жергілікті маңызы бар тарих және мәдениет ескерткішін күтіп-ұстау шарттарын бұзу фактілерінің болмауы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сақталып тұруына қатер төндіруі мүмкін жұмыстардың жүргізілу фактілерінің болмауы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ескерткіштеріндегі ғылыми-реставрациялық жұмыстарды жүргізу шарттарын және археологиялық жұмыстарды жүзеге асыру шарттарын бұзу фактілерінің болмауы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