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b7c" w14:textId="1187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және кедендік әкімшілендірудің кейбір мәселелері туралы" Қазақстан Республикасы Қаржы министрінің 2018 жылғы 8 ақпандағы № 146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22 сәуірдегі № 411 бұйрығы. Қазақстан Республикасының Әділет министрлігінде 2020 жылғы 24 сәуірде № 20483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және кедендік әкімшілендірудің кейбір мәселелері туралы" Қазақстан Республикасы Қаржы министрінің 2018 жылғы 8 ақпандағы № 146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16450 болып тіркелген, Қазақстан Республикасы нормативтік құқықтық актілердің Эталондық бақылау банкінде 2018 жылғы 13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салықтық тексеру жүргізу туралы хабарландыру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төлеушінің (салық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агентінін)тегі, аты, әкесінің 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(ол болған жағдайда)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сәйкестендіру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нөмірі/бизнес-сәйкестендіру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жерінің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жерінің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Салықтық тексеру жүргізу туралы хабарландыру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 ________                                    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(мемлекеттік органның атауы, бизнес-сәйкестендіру нөмірі)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(бұдан әрі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147-бабына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Сізді тәуекел дәрежесін бағалау негізінде ерекше тәртіп бойынша жүргізілетін салықтық тексерулер бойынша келесі нысанда: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салықтар, бюджетке төленетін төлемдер мен әлеуметтік төлемдердің барлық түрлері бойынша салықтық міндеттемелерді орындау мәселесі бойынша кешенді тексеріс жүргізу туралы;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сұрақтар бойынша: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cалықтардың және (немесе) бюджетке төленетін төлемдердің жекелеген түрлері бойынша салықтық міндеттемені орындау;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төлемдерді есептеудің, ұстап қалу мен аударудың толықтығы және уақытылы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банктердің және банк операцияларының жекелеген түрлерін жүзеге асыратын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кодексінде</w:t>
      </w:r>
      <w:r>
        <w:rPr>
          <w:rFonts w:ascii="Times New Roman"/>
          <w:b w:val="false"/>
          <w:i w:val="false"/>
          <w:color w:val="000000"/>
          <w:sz w:val="28"/>
        </w:rPr>
        <w:t>, сондай-ақ 2019 жылғы 26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Міндетті әлеуметтік сақтандыру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2013 жылғы 21 маусымдағы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зейнетақымен қамсыздандыру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16 қарашадағы "</w:t>
      </w:r>
      <w:r>
        <w:rPr>
          <w:rFonts w:ascii="Times New Roman"/>
          <w:b w:val="false"/>
          <w:i w:val="false"/>
          <w:color w:val="000000"/>
          <w:sz w:val="28"/>
        </w:rPr>
        <w:t>Міндетті әлеуметтік медициналық сақтандыру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заңдарында белгіленген міндеттерді орындауы;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баға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акцизделетін тауарлардың жекелеген түрлерінің өндірісі мен айналымын, сондай-ақ авиациялық отынның, биоотынның, мазуттың айналымын мемлекеттік реттеу;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 мен оның дебиторлары арасындағы өзара есеп айырысуларды айқындау;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жасалуын іс жүзінде жұмыстарды орындамай, қызметтерді көрсетпей, тауарларды тиеп-жөнелтпей жүзеге асырылды деп таныған шот-фактура жазып беру жөніндегі әрекет (әрекеттер) бойынша салықтық міндеттемені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шарттардың (келісімдердің) ережелерін қолдаудың құқыққа сыйымдылығы;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қосылған құн салығының асып кету сомаларының, оның ішінде қайтару ұсынылған соманың анықтығын растау;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бейрезидент қосарланған салық салуды болғызбау және салықтарды төлеуден жалтаруға жол бермеу мәселелерін реттейтін халықаралық шартың ережелерін қолдануға байланысты бюджеттен қайтаруды ұсынған табыс салығын растау;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115-бабында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камералдық бақылау нәтижелері бойынша анықталған бұзушылықтарды жою туралы мемлекеттік кірістер органдарының хабарламасын салық төлеушінің (салық агентінің) орындамауы мәселелері бойынша тақырыптық тексеру жүргізілетіні туралы хабарлайды.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тексеруін жүргізу үшін Сіз мынадай құжаттарды: бухгалтерлік құжаттамаларды, салық нысандарын, салықтық есепке алу саясатын, салық салу объектілері және (немесе) салық салуға байланысты объектілерді айқындау үшін, сондай-ақ салық міндеттемелерін есептеу үшін негіз болып табылатын өзге де құжаттарды беруіңіз қажет.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тексеруін жүргізу кезінде Сіз Салық кодексінде көзделген құқықтарға иесіз және салық төлеушінің (салық агентінің) міндеттерін орындауға міндеттісіз.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хабарландырумен келіспеген жағдайда, салық төлеуші және салық агенті мемлекеттік кірістер органдары лауазымды тұлғаларының әрекеттеріне (әрекетсіздігіне) жоғары тұрған мемлекеттік кірістер органына немесе сотқа шағымдануға құқылы.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органның басшысы (басшының 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(тегі, аты, әкесінің аты (ол болған жағыдайда), қолы, мөрі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Хабарландыруды алдым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төлеушінің (салық агентінің) тегі, аты, әкесінің аты (ол болған жағдайда),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Хабарландыру салық төлеушіге (салық агентіне тапсырылды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(мемлекеттік органның лауазымды тұлғасының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(ол болған жағдайда), қолы,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Хабарландыру салық төлеушіге (салық агентіне) жіберілді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(жіберу және (немесе) алу фактісін растайтын құжат)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 (салық агентін) тәуекел дәрежесін бағалау негізінде ерекше тәртіп бойынша жүргізілетін салықтық тексерулер кешенді және (немесе) тақырыптық тексеру жүргізу туралы хабарландыру кезінде торкөзде тиісті тексеру жүргізу мәселесі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