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6c48" w14:textId="1f36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26 наурыздағы № 320 бұйрығы. Қазақстан Республикасының Әділет министрлігінде 2020 жылғы 31 наурызда № 20211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Міндеттемелер бойынша қаржыландырудың жиынтық жоспарын, түсімдердің және төлемдер бойынша қаржыландырудың жиынтық жоспарын жасау және жүргізу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 w:id="5"/>
    <w:p>
      <w:pPr>
        <w:spacing w:after="0"/>
        <w:ind w:left="0"/>
        <w:jc w:val="both"/>
      </w:pPr>
      <w:r>
        <w:rPr>
          <w:rFonts w:ascii="Times New Roman"/>
          <w:b w:val="false"/>
          <w:i w:val="false"/>
          <w:color w:val="000000"/>
          <w:sz w:val="28"/>
        </w:rPr>
        <w:t>
      "3-тарау. Бюджеттің атқарылуы";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2" w:id="6"/>
    <w:p>
      <w:pPr>
        <w:spacing w:after="0"/>
        <w:ind w:left="0"/>
        <w:jc w:val="both"/>
      </w:pPr>
      <w:r>
        <w:rPr>
          <w:rFonts w:ascii="Times New Roman"/>
          <w:b w:val="false"/>
          <w:i w:val="false"/>
          <w:color w:val="000000"/>
          <w:sz w:val="28"/>
        </w:rPr>
        <w:t>
      "4-тарау. Қолма-қол ақшаны бақылау шоттарын және мемлекеттік мекемелердің шоттарын ашу, жүргізу және жабу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4" w:id="7"/>
    <w:p>
      <w:pPr>
        <w:spacing w:after="0"/>
        <w:ind w:left="0"/>
        <w:jc w:val="both"/>
      </w:pPr>
      <w:r>
        <w:rPr>
          <w:rFonts w:ascii="Times New Roman"/>
          <w:b w:val="false"/>
          <w:i w:val="false"/>
          <w:color w:val="000000"/>
          <w:sz w:val="28"/>
        </w:rPr>
        <w:t>
      "5-тарау. Ұлттық валютадағы түсімдер бойынша бюджеттің атқарылуы";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6" w:id="8"/>
    <w:p>
      <w:pPr>
        <w:spacing w:after="0"/>
        <w:ind w:left="0"/>
        <w:jc w:val="both"/>
      </w:pPr>
      <w:r>
        <w:rPr>
          <w:rFonts w:ascii="Times New Roman"/>
          <w:b w:val="false"/>
          <w:i w:val="false"/>
          <w:color w:val="000000"/>
          <w:sz w:val="28"/>
        </w:rPr>
        <w:t>
      "6-тарау. Шығыстар бойынша бюджеттің атқарылуы";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"187. Мемлекеттік мекемелердің азаматтық-құқықтық мәмілелерін тіркеу мемлекеттік мекеменің шартын немесе тіркелген шартқа қосымша келісімді тіркеу үшін жасалатын және аумақтық қазынашылық бөлімшесіне ұсынылатын ("Қазынашылық-клиент" АЖ бойынша электрондық үлгісі қалыптастырылады және жіберіледі) азаматтық-құқықтық мәмілені тіркеуге арналған өтінім негізінде жүзеге асырылады.</w:t>
      </w:r>
    </w:p>
    <w:bookmarkEnd w:id="9"/>
    <w:p>
      <w:pPr>
        <w:spacing w:after="0"/>
        <w:ind w:left="0"/>
        <w:jc w:val="both"/>
      </w:pPr>
      <w:r>
        <w:rPr>
          <w:rFonts w:ascii="Times New Roman"/>
          <w:b w:val="false"/>
          <w:i w:val="false"/>
          <w:color w:val="000000"/>
          <w:sz w:val="28"/>
        </w:rPr>
        <w:t>
      Шартты сот шешімі бойынша бұзған жағдайда, мемлекеттік мекеме аумақтық қазынашылық бөлімшесіне заңды күшіне енген, соттың мөр бедерімен куәландырылған сот шешімінің көшірмесін не "Сот кабинеті" АЖ арқылы электронды форматта алынған мемлекеттік мекеменің басшысының қолымен және мөрімен куәландырылған заңды күшіне енген сот шешімінің көшірмесін қоса бере отырып, аумақтық қазынашылық бөлімшесіне тиісті хатты қағаз жеткізгіште не электрондық құжат айналымы жүйесі арқылы ұсынады.</w:t>
      </w:r>
    </w:p>
    <w:p>
      <w:pPr>
        <w:spacing w:after="0"/>
        <w:ind w:left="0"/>
        <w:jc w:val="both"/>
      </w:pPr>
      <w:r>
        <w:rPr>
          <w:rFonts w:ascii="Times New Roman"/>
          <w:b w:val="false"/>
          <w:i w:val="false"/>
          <w:color w:val="000000"/>
          <w:sz w:val="28"/>
        </w:rPr>
        <w:t>
      Шартты басқа негіздер бойынша бұзған не Қазақстан Республикасының заңнамасында немесе жасалған шарттарда көзделген жағдайларда шартты орындаудан біржақты бас тартқан жағдайда, мемлекеттік мекеме хатпен бірге шарттың бұзылғанын растайтын құжаттың көшірмесін қоса бере отырып, қағаз жеткізгіште не электрондық құжат айналымы жүйесі арқылы (хатта нөмірі, күні, сомасы және шартты тіркеу туралы хабарлама сомасының қалдығы), немесе егер өзгесі Қазақстан Республикасының заңнамасында не тараптардың келісімінде көзделмеген болса, бір айдан кеш емес мерзімде жасалған шарттың орындалуынан біржақты бас тарту туралы хабарлама-хаттың көшірмесін ұсынады. Бұл ретте хабарлама-хатта шарт бойынша екінші тараптың хабарламаны алғаны туралы белгі (мөртабан не тиісті қол) не Қазақстан Республикасының заңнамасында көзделген өзге де растаманы қамтуы тиіс.</w:t>
      </w:r>
    </w:p>
    <w:p>
      <w:pPr>
        <w:spacing w:after="0"/>
        <w:ind w:left="0"/>
        <w:jc w:val="both"/>
      </w:pPr>
      <w:r>
        <w:rPr>
          <w:rFonts w:ascii="Times New Roman"/>
          <w:b w:val="false"/>
          <w:i w:val="false"/>
          <w:color w:val="000000"/>
          <w:sz w:val="28"/>
        </w:rPr>
        <w:t>
      Шарт талаптарын орындамағаны немесе тиісінше орындамағаны үшін тұрақсыздық айыбы (айыппұл, өсімақы) ұсталған жағдайда, мемлекеттік мекеме азаматтық-құқықтық мәмілені тіркеу үшін қағаз жеткізгіште 2 өтінім (бір өтінімді тұрақсыздық айыбын (айыппұлды, өсімақыны) есептен шығарған шарт сомасына, екіншісін – ұсталған тұрақсыздық айыбының (айыппұлдың, өсімақының) сомасына) ұсынады. Бұл ретте мемлекеттік мекеменің өтінімдерді беруі негізгі шарт бойынша "түпкілікті" мәртебесі бар төлемді жүргізгенге дейін жүзеге асырылады.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65-тармағында</w:t>
      </w:r>
      <w:r>
        <w:rPr>
          <w:rFonts w:ascii="Times New Roman"/>
          <w:b w:val="false"/>
          <w:i w:val="false"/>
          <w:color w:val="000000"/>
          <w:sz w:val="28"/>
        </w:rPr>
        <w:t xml:space="preserve"> көзделген жоспарлы тағайындаулар мен кассалық шығыстарды көшірген жағдайда тапсырыстарды (хабарландыруларды) жабу (жою) тиісті нормативтік құқықтық актінің, сондай-ақ шартты тіркеу туралы хабарламаның нөмірі, күні, сомасы және қалдық сомасы көрсетіле отырып, мемлекеттік мекеме хатының негізінде жасалады.</w:t>
      </w:r>
    </w:p>
    <w:p>
      <w:pPr>
        <w:spacing w:after="0"/>
        <w:ind w:left="0"/>
        <w:jc w:val="both"/>
      </w:pPr>
      <w:r>
        <w:rPr>
          <w:rFonts w:ascii="Times New Roman"/>
          <w:b w:val="false"/>
          <w:i w:val="false"/>
          <w:color w:val="000000"/>
          <w:sz w:val="28"/>
        </w:rPr>
        <w:t>
      Азаматтық-құқықтық мәмілені тіркеуге арналған өтінімнің шынайылығы және ресімделу дұрыстығын мемлекеттік мекеме қамтамасыз етеді.</w:t>
      </w:r>
    </w:p>
    <w:p>
      <w:pPr>
        <w:spacing w:after="0"/>
        <w:ind w:left="0"/>
        <w:jc w:val="both"/>
      </w:pPr>
      <w:r>
        <w:rPr>
          <w:rFonts w:ascii="Times New Roman"/>
          <w:b w:val="false"/>
          <w:i w:val="false"/>
          <w:color w:val="000000"/>
          <w:sz w:val="28"/>
        </w:rPr>
        <w:t>
      Шарт сомасы кассалық сомаға дейін азайған жағдайда жасалған қосымша келісім мемлекеттік мекеменің хатымен бірге (хатта міндетті түрде шарттың тіркелуі туралы хабарламаның нөмірін, күнін, сомасы мен қалдық сомасын көрсету міндетті) электрондық құжат айналымы жүйесі арқылы ұсынылады.";</w:t>
      </w:r>
    </w:p>
    <w:bookmarkStart w:name="z19" w:id="10"/>
    <w:p>
      <w:pPr>
        <w:spacing w:after="0"/>
        <w:ind w:left="0"/>
        <w:jc w:val="both"/>
      </w:pPr>
      <w:r>
        <w:rPr>
          <w:rFonts w:ascii="Times New Roman"/>
          <w:b w:val="false"/>
          <w:i w:val="false"/>
          <w:color w:val="000000"/>
          <w:sz w:val="28"/>
        </w:rPr>
        <w:t>
      248-тармақ мынадай редакцияда жазылсын:</w:t>
      </w:r>
    </w:p>
    <w:bookmarkEnd w:id="10"/>
    <w:bookmarkStart w:name="z20" w:id="11"/>
    <w:p>
      <w:pPr>
        <w:spacing w:after="0"/>
        <w:ind w:left="0"/>
        <w:jc w:val="both"/>
      </w:pPr>
      <w:r>
        <w:rPr>
          <w:rFonts w:ascii="Times New Roman"/>
          <w:b w:val="false"/>
          <w:i w:val="false"/>
          <w:color w:val="000000"/>
          <w:sz w:val="28"/>
        </w:rPr>
        <w:t>
      "248. Бюджеттік бағдарламалар әкімшісінің қаражатты квазимемлекеттік сектор субъектілеріне аударуы қаржылық-экономикалық негіздемеге немесе техника-экономикалық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жылына көрсетілген сома шегінде жүзеге асырылады.</w:t>
      </w:r>
    </w:p>
    <w:bookmarkEnd w:id="11"/>
    <w:p>
      <w:pPr>
        <w:spacing w:after="0"/>
        <w:ind w:left="0"/>
        <w:jc w:val="both"/>
      </w:pPr>
      <w:r>
        <w:rPr>
          <w:rFonts w:ascii="Times New Roman"/>
          <w:b w:val="false"/>
          <w:i w:val="false"/>
          <w:color w:val="000000"/>
          <w:sz w:val="28"/>
        </w:rPr>
        <w:t>
      Жарғылық капиталында мемлекет қатысатын заңды тұлғалардың жарғылық капиталын арттыруға және заңды тұлғалардың жарияланған акцияларын төлеу үшiн олардың еншiлес ұйымдарының жарғылық капиталын арттыруға ақша аудару, бағалы қағаздар нарығын реттеудi және қадағалауды жүзеге асыратын мемлекеттiк органның тиiстi куәлiгiмен расталатын жарияланған акциялар (бағалы қағаздар) шығарылымын мемлекеттiк тiркегеннен кейiн бюджеттiк бағдарламалар әкiмшiсі тиісті қаржы жылына көзделген сома шегінде қаржы-экономикалық негіздемеге сәйкес жүзеге асырады.</w:t>
      </w:r>
    </w:p>
    <w:p>
      <w:pPr>
        <w:spacing w:after="0"/>
        <w:ind w:left="0"/>
        <w:jc w:val="both"/>
      </w:pPr>
      <w:r>
        <w:rPr>
          <w:rFonts w:ascii="Times New Roman"/>
          <w:b w:val="false"/>
          <w:i w:val="false"/>
          <w:color w:val="000000"/>
          <w:sz w:val="28"/>
        </w:rPr>
        <w:t>
      Бюджеттiк бағдарламалар әкiмшiсінiң заңды тұлғалардың жарияланған акцияларына ақы төлеуге берiлетiн шотты аумақтық қазынашылық бөлiмшелерiне жарияланған акциялардың (бағалы қағаздардың) шығарылымын мемлекеттiк тiркеусiз ұсынуға жол берiлмейдi. Бюджеттiк бағдарламалар әкiмшiсi заңды тұлғалардың жарияланған акцияларына ақы төлеуге берiлетiн шоттың негiздiлiгi мен заңдылығын қамтамасыз етедi.</w:t>
      </w:r>
    </w:p>
    <w:p>
      <w:pPr>
        <w:spacing w:after="0"/>
        <w:ind w:left="0"/>
        <w:jc w:val="both"/>
      </w:pPr>
      <w:r>
        <w:rPr>
          <w:rFonts w:ascii="Times New Roman"/>
          <w:b w:val="false"/>
          <w:i w:val="false"/>
          <w:color w:val="000000"/>
          <w:sz w:val="28"/>
        </w:rPr>
        <w:t>
      Жарияланған акцияларға (бағалы қағаздарға) ақы төлеу шотына ақша аударылғаннан кейiн заңды тұлға бағалы қағаздар нарығы туралы заңнамада белгiленген мерзiмде мемлекеттiк меншiкке иелiк ету жөнiндегi уәкiлеттi органның шотына төленген акцияларды есептеудi қамтамасыз етедi.</w:t>
      </w:r>
    </w:p>
    <w:p>
      <w:pPr>
        <w:spacing w:after="0"/>
        <w:ind w:left="0"/>
        <w:jc w:val="both"/>
      </w:pPr>
      <w:r>
        <w:rPr>
          <w:rFonts w:ascii="Times New Roman"/>
          <w:b w:val="false"/>
          <w:i w:val="false"/>
          <w:color w:val="000000"/>
          <w:sz w:val="28"/>
        </w:rPr>
        <w:t>
      Бюджеттiк инвестицияларды ұлттық холдингтердің және ұлттық басқарушы холдингiнiң жарғылық капиталында мемлекеттiң қатысуы арқылы жүзеге асырылған кезде, көрсетiлген заңды тұлғалардың акцияларының мемлекеттiк пакетiне иелiк ету және пайдалану құқығы жоқ бюджеттiк бағдарламалар әкiмшiлерi Қазақстан Республикасы Үкiметiнiң шешiмiне сәйкес ұлттық холдингтердiң және ұлттық басқарушы холдингi акцияларының эмисиясын төлей алады.</w:t>
      </w:r>
    </w:p>
    <w:p>
      <w:pPr>
        <w:spacing w:after="0"/>
        <w:ind w:left="0"/>
        <w:jc w:val="both"/>
      </w:pPr>
      <w:r>
        <w:rPr>
          <w:rFonts w:ascii="Times New Roman"/>
          <w:b w:val="false"/>
          <w:i w:val="false"/>
          <w:color w:val="000000"/>
          <w:sz w:val="28"/>
        </w:rPr>
        <w:t>
      Республикалық бюджеттен тегін медициналық көмектің кепілдік берілген көлемі шеңберінде әлеуметтік қызметтер төлеміне әлеуметтік медициналық сақтандыру қорына трансферт аударуды төлемдер бойынша жеке қаржыландыру жоспарының сомасы шегінде бюджеттік бағдарлама әкімшісі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2" w:id="12"/>
    <w:p>
      <w:pPr>
        <w:spacing w:after="0"/>
        <w:ind w:left="0"/>
        <w:jc w:val="both"/>
      </w:pPr>
      <w:r>
        <w:rPr>
          <w:rFonts w:ascii="Times New Roman"/>
          <w:b w:val="false"/>
          <w:i w:val="false"/>
          <w:color w:val="000000"/>
          <w:sz w:val="28"/>
        </w:rPr>
        <w:t>
      "7-тарау. Квазимемлекеттік сектор субъектілеріне қызмет көрсету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378-21-тармақ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"378-21. Қазынашылық қолдау кезіндегі бас мердігерлердің және қазынашылық қолдау кезіндегі қосалқы мердігерлердің төлемдері және (немесе) ақша аударымдары МСА шоттарында қалған ақша қалдықтарының шегінде қазынашылық қолдау кезіндегі бас мердігерлер және қазынашылық қолдау кезіндегі қосалқы мердігерлермен № 208 қаулымен белгіленген нысан бойынша төлем тапсырмасын қалыптастыру жолымен жүргізіледі.</w:t>
      </w:r>
    </w:p>
    <w:bookmarkEnd w:id="13"/>
    <w:p>
      <w:pPr>
        <w:spacing w:after="0"/>
        <w:ind w:left="0"/>
        <w:jc w:val="both"/>
      </w:pPr>
      <w:r>
        <w:rPr>
          <w:rFonts w:ascii="Times New Roman"/>
          <w:b w:val="false"/>
          <w:i w:val="false"/>
          <w:color w:val="000000"/>
          <w:sz w:val="28"/>
        </w:rPr>
        <w:t xml:space="preserve">
      Төлем тапсырмасын қалыптастыру үшін негіз: </w:t>
      </w:r>
    </w:p>
    <w:p>
      <w:pPr>
        <w:spacing w:after="0"/>
        <w:ind w:left="0"/>
        <w:jc w:val="both"/>
      </w:pPr>
      <w:r>
        <w:rPr>
          <w:rFonts w:ascii="Times New Roman"/>
          <w:b w:val="false"/>
          <w:i w:val="false"/>
          <w:color w:val="000000"/>
          <w:sz w:val="28"/>
        </w:rPr>
        <w:t>
      қазынашылық қолдау кезіндегі бас мердігерлер үшін – инжинирингтік компанияның төлем сертификаты, ЭШФ;</w:t>
      </w:r>
    </w:p>
    <w:p>
      <w:pPr>
        <w:spacing w:after="0"/>
        <w:ind w:left="0"/>
        <w:jc w:val="both"/>
      </w:pPr>
      <w:r>
        <w:rPr>
          <w:rFonts w:ascii="Times New Roman"/>
          <w:b w:val="false"/>
          <w:i w:val="false"/>
          <w:color w:val="000000"/>
          <w:sz w:val="28"/>
        </w:rPr>
        <w:t xml:space="preserve">
      қазынашылық қолдау кезіндегі қосалқы мердігерлер үшін – ЭШФ; </w:t>
      </w:r>
    </w:p>
    <w:p>
      <w:pPr>
        <w:spacing w:after="0"/>
        <w:ind w:left="0"/>
        <w:jc w:val="both"/>
      </w:pPr>
      <w:r>
        <w:rPr>
          <w:rFonts w:ascii="Times New Roman"/>
          <w:b w:val="false"/>
          <w:i w:val="false"/>
          <w:color w:val="000000"/>
          <w:sz w:val="28"/>
        </w:rPr>
        <w:t>
      қазынашылық қолдау кезіндегі бас мердігерлер мен қосалқы мердігерлер үшін өз қаражаты есебінен жүргізілген ағымдағы шығындарды өтеу кезінде инжинирингтік компанияның төлем сертификаты болып табылады.</w:t>
      </w:r>
    </w:p>
    <w:p>
      <w:pPr>
        <w:spacing w:after="0"/>
        <w:ind w:left="0"/>
        <w:jc w:val="both"/>
      </w:pPr>
      <w:r>
        <w:rPr>
          <w:rFonts w:ascii="Times New Roman"/>
          <w:b w:val="false"/>
          <w:i w:val="false"/>
          <w:color w:val="000000"/>
          <w:sz w:val="28"/>
        </w:rPr>
        <w:t>
      Бас мердігер үстеме шығыстарды төлеуді Қазақстан Республикасы сәулет, қала құрылысы заңнамасына сәйкес төлем тапсырмасы негізінде жүзеге асырады.</w:t>
      </w:r>
    </w:p>
    <w:p>
      <w:pPr>
        <w:spacing w:after="0"/>
        <w:ind w:left="0"/>
        <w:jc w:val="both"/>
      </w:pPr>
      <w:r>
        <w:rPr>
          <w:rFonts w:ascii="Times New Roman"/>
          <w:b w:val="false"/>
          <w:i w:val="false"/>
          <w:color w:val="000000"/>
          <w:sz w:val="28"/>
        </w:rPr>
        <w:t>
      Қазынашылық қолдау кезінде бас мердігерлер және қазынашылық қолдау кезінде қосалқы мердігерлер аумақтық қазынашылық органдарына осы тармақта көрсетілген құжаттарды қоса төлем тапсырмасын ұсынуды қамтамасыз етеді.</w:t>
      </w:r>
    </w:p>
    <w:p>
      <w:pPr>
        <w:spacing w:after="0"/>
        <w:ind w:left="0"/>
        <w:jc w:val="both"/>
      </w:pPr>
      <w:r>
        <w:rPr>
          <w:rFonts w:ascii="Times New Roman"/>
          <w:b w:val="false"/>
          <w:i w:val="false"/>
          <w:color w:val="000000"/>
          <w:sz w:val="28"/>
        </w:rPr>
        <w:t xml:space="preserve">
      Қазынашылықта ашылған шоттардан бас мердігердің немесе қосалқы мердігердің өз қаражаты есебінен жүргізілген ағымдағы шығындарды өтеу кезінде екінші деңгейдегі банктерде бас мердігердің немесе қосалқы мердігердің шоттарына төлем өтеуге жататын жүргізілген шығындарды көрсете отырып, төлем сертификаты негізінде жүргізіледі. </w:t>
      </w:r>
    </w:p>
    <w:p>
      <w:pPr>
        <w:spacing w:after="0"/>
        <w:ind w:left="0"/>
        <w:jc w:val="both"/>
      </w:pPr>
      <w:r>
        <w:rPr>
          <w:rFonts w:ascii="Times New Roman"/>
          <w:b w:val="false"/>
          <w:i w:val="false"/>
          <w:color w:val="000000"/>
          <w:sz w:val="28"/>
        </w:rPr>
        <w:t>
      Бас мердігердің немесе қосалқы мердігердің өз қаражаты есебінен қазынашылықта ашылған шоттардан бас мердігердің немесе қосалқы мердігердің екінші деңгейдегі банктерге жүргізген ағымдағы шығындарын өтеуге тапсырыс беруші мен бас мердігердің арасында жасалған мемлекеттік сатып алу шартында аванс беру талаптары болмаған кезде ғана жол беріледі.</w:t>
      </w:r>
    </w:p>
    <w:p>
      <w:pPr>
        <w:spacing w:after="0"/>
        <w:ind w:left="0"/>
        <w:jc w:val="both"/>
      </w:pPr>
      <w:r>
        <w:rPr>
          <w:rFonts w:ascii="Times New Roman"/>
          <w:b w:val="false"/>
          <w:i w:val="false"/>
          <w:color w:val="000000"/>
          <w:sz w:val="28"/>
        </w:rPr>
        <w:t>
      Тауарларды (жұмыстар орындауды, қызметтер көрсетуді) сатып алу үшін төлемдерді ақшаны түпкілікті алушы қосалқы мердігерлерге (тауарларды, жұмыстарды, қызметтерді өндірушілерге) екінші деңгейдегі банкте ашық шоттарға аударуды:</w:t>
      </w:r>
    </w:p>
    <w:p>
      <w:pPr>
        <w:spacing w:after="0"/>
        <w:ind w:left="0"/>
        <w:jc w:val="both"/>
      </w:pPr>
      <w:r>
        <w:rPr>
          <w:rFonts w:ascii="Times New Roman"/>
          <w:b w:val="false"/>
          <w:i w:val="false"/>
          <w:color w:val="000000"/>
          <w:sz w:val="28"/>
        </w:rPr>
        <w:t>
      бас мердігерлер төлем сертификаты мен ЭШФ негізінде;</w:t>
      </w:r>
    </w:p>
    <w:p>
      <w:pPr>
        <w:spacing w:after="0"/>
        <w:ind w:left="0"/>
        <w:jc w:val="both"/>
      </w:pPr>
      <w:r>
        <w:rPr>
          <w:rFonts w:ascii="Times New Roman"/>
          <w:b w:val="false"/>
          <w:i w:val="false"/>
          <w:color w:val="000000"/>
          <w:sz w:val="28"/>
        </w:rPr>
        <w:t>
      қосалқы мердігерлер ЭШФ негізінде жүзеге асырады.</w:t>
      </w:r>
    </w:p>
    <w:p>
      <w:pPr>
        <w:spacing w:after="0"/>
        <w:ind w:left="0"/>
        <w:jc w:val="both"/>
      </w:pPr>
      <w:r>
        <w:rPr>
          <w:rFonts w:ascii="Times New Roman"/>
          <w:b w:val="false"/>
          <w:i w:val="false"/>
          <w:color w:val="000000"/>
          <w:sz w:val="28"/>
        </w:rPr>
        <w:t>
      Бас мердігердің қосалқы мердігерлерге мемлекеттік сатып алу шоттарына және ақшаны түпкілікті алушы қосалқы мердігерлерге (тауарларды, жұмыстарды, қызметтерді өндірушілерге) екінші деңгейдегі банкте ашық шоттарға аванстық (алдын-ала) төлемді жасалған шарт сомасының 30 пайызынан аспайтын мөлшерде аударуы төлем тапсырмасы негізінде жүзеге асырылады.</w:t>
      </w:r>
    </w:p>
    <w:p>
      <w:pPr>
        <w:spacing w:after="0"/>
        <w:ind w:left="0"/>
        <w:jc w:val="both"/>
      </w:pPr>
      <w:r>
        <w:rPr>
          <w:rFonts w:ascii="Times New Roman"/>
          <w:b w:val="false"/>
          <w:i w:val="false"/>
          <w:color w:val="000000"/>
          <w:sz w:val="28"/>
        </w:rPr>
        <w:t>
      Қосалқы мердігерлердің мемлекеттік сатып алу шоттарынан ақшаны түпкілікті алушы қосалқы мердігерлерге (тауарларды, жұмыстарды, қызметтерді өндірушілерге) аванстық (алдын-ала) төлемді жасалған шарт сомасының 30 пайызынан аспайтын мөлшерде аударуы төлем тапсырмасы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26" w:id="14"/>
    <w:p>
      <w:pPr>
        <w:spacing w:after="0"/>
        <w:ind w:left="0"/>
        <w:jc w:val="both"/>
      </w:pPr>
      <w:r>
        <w:rPr>
          <w:rFonts w:ascii="Times New Roman"/>
          <w:b w:val="false"/>
          <w:i w:val="false"/>
          <w:color w:val="000000"/>
          <w:sz w:val="28"/>
        </w:rPr>
        <w:t>
      "8-тарау. Бюджет ақшасын басқару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28" w:id="15"/>
    <w:p>
      <w:pPr>
        <w:spacing w:after="0"/>
        <w:ind w:left="0"/>
        <w:jc w:val="both"/>
      </w:pPr>
      <w:r>
        <w:rPr>
          <w:rFonts w:ascii="Times New Roman"/>
          <w:b w:val="false"/>
          <w:i w:val="false"/>
          <w:color w:val="000000"/>
          <w:sz w:val="28"/>
        </w:rPr>
        <w:t>
      "9-тарау. Мемлекеттік мекемелер өздерінің иелігінде қалатын тауарларды (жұмыстарды, көрсетілетін қызметтерді) өткізуден алатын ақшаны, қайырымдылық көмектен түсетін түсімдерді, жеке немесе заңды тұлғалар оны қайтарып алу шартымен мемлекеттік мекемеге беретін ақшаны пайдалану не нақты жағдайлар туындаған кезде тиісті бюджетке немесе үшінші тұлғаларға аудару";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30" w:id="16"/>
    <w:p>
      <w:pPr>
        <w:spacing w:after="0"/>
        <w:ind w:left="0"/>
        <w:jc w:val="both"/>
      </w:pPr>
      <w:r>
        <w:rPr>
          <w:rFonts w:ascii="Times New Roman"/>
          <w:b w:val="false"/>
          <w:i w:val="false"/>
          <w:color w:val="000000"/>
          <w:sz w:val="28"/>
        </w:rPr>
        <w:t>
      "11-тарау. Бюджеттік кредит беру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627-1-тармақ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"627-1. Қазақстан Республикасының заңнамасына сәйкес қарыз алушыға қатысты оңалту рәсімін қолданған кезде оңалту жоспарында көзделген, бірақ бір реттен аспайтын қарыз алушының бюджеттік кредитін қайта құрылымдауға жол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34" w:id="18"/>
    <w:p>
      <w:pPr>
        <w:spacing w:after="0"/>
        <w:ind w:left="0"/>
        <w:jc w:val="both"/>
      </w:pPr>
      <w:r>
        <w:rPr>
          <w:rFonts w:ascii="Times New Roman"/>
          <w:b w:val="false"/>
          <w:i w:val="false"/>
          <w:color w:val="000000"/>
          <w:sz w:val="28"/>
        </w:rPr>
        <w:t>
      "12-тарау. Мемлекеттік және мемлекет кепілдік берген қарыздар және мемлекет кепілгерлігімен тартылатын қарыздар";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36" w:id="19"/>
    <w:p>
      <w:pPr>
        <w:spacing w:after="0"/>
        <w:ind w:left="0"/>
        <w:jc w:val="both"/>
      </w:pPr>
      <w:r>
        <w:rPr>
          <w:rFonts w:ascii="Times New Roman"/>
          <w:b w:val="false"/>
          <w:i w:val="false"/>
          <w:color w:val="000000"/>
          <w:sz w:val="28"/>
        </w:rPr>
        <w:t>
      "13-тарау. Мемлекеттік-жекешелік әріптестік жобалары бойынша мемлекеттік міндеттемелерді, оның ішінде мемлекеттік концессиялық міндеттемелерді тіркеу және олардың мониторингі және мемлекеттік міндеттемелері жоқ мемлекеттік-жекешелік әріптестік жобалары бойынша шарттарды тіркеу";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878-тармақ</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"878. МЖӘ шарттарын, оның ішінде Қазақстан Республикасының Үкіметі мен жергілікті атқарушы органдардың концессияларын, сондай-ақ оларға қосымша келісімдерді тіркеуді бюджетті атқару жөніндегі орталық уәкілетті орган немесе оның аумақтық бөлімшесі жүзеге асырады.</w:t>
      </w:r>
    </w:p>
    <w:bookmarkEnd w:id="20"/>
    <w:p>
      <w:pPr>
        <w:spacing w:after="0"/>
        <w:ind w:left="0"/>
        <w:jc w:val="both"/>
      </w:pPr>
      <w:r>
        <w:rPr>
          <w:rFonts w:ascii="Times New Roman"/>
          <w:b w:val="false"/>
          <w:i w:val="false"/>
          <w:color w:val="000000"/>
          <w:sz w:val="28"/>
        </w:rPr>
        <w:t xml:space="preserve">
      Бюджетті атқару жөніндегі орталық уәкілетті органмен немесе оның аумақтық бөлімшесімен тіркелген МЖӘ шарттарына (оның ішінде концессияларын) әлеуеттік өнім берушіні таңдауға негіз болып табылған сапасы мен басқа да талаптары өзгермеген жағдайда, қосымша келісімдер мынадай өзгерістер: </w:t>
      </w:r>
    </w:p>
    <w:p>
      <w:pPr>
        <w:spacing w:after="0"/>
        <w:ind w:left="0"/>
        <w:jc w:val="both"/>
      </w:pPr>
      <w:r>
        <w:rPr>
          <w:rFonts w:ascii="Times New Roman"/>
          <w:b w:val="false"/>
          <w:i w:val="false"/>
          <w:color w:val="000000"/>
          <w:sz w:val="28"/>
        </w:rPr>
        <w:t>
      МЖӘ шарттарының атауы (оның ішінде төлем кестесі өзгергенде), саны немесе шарт қатысушыларының ауысуы, соммасы мен іске асырылу мерзімі;</w:t>
      </w:r>
    </w:p>
    <w:p>
      <w:pPr>
        <w:spacing w:after="0"/>
        <w:ind w:left="0"/>
        <w:jc w:val="both"/>
      </w:pPr>
      <w:r>
        <w:rPr>
          <w:rFonts w:ascii="Times New Roman"/>
          <w:b w:val="false"/>
          <w:i w:val="false"/>
          <w:color w:val="000000"/>
          <w:sz w:val="28"/>
        </w:rPr>
        <w:t>
      Қазақстан Республикасының заңнамасымен және жасалған шарттың талптарымен қарастырылған жағдайлары мен тәртібінде шарттың бұзылуы болғанда тіркеледі.</w:t>
      </w:r>
    </w:p>
    <w:p>
      <w:pPr>
        <w:spacing w:after="0"/>
        <w:ind w:left="0"/>
        <w:jc w:val="both"/>
      </w:pPr>
      <w:r>
        <w:rPr>
          <w:rFonts w:ascii="Times New Roman"/>
          <w:b w:val="false"/>
          <w:i w:val="false"/>
          <w:color w:val="000000"/>
          <w:sz w:val="28"/>
        </w:rPr>
        <w:t>
      Тиісті бюджет комиссиясының қарауынсыз МЖӘ шарттарымен белгіленген мемлекеттік міндеттемелердің мөлшерінің өзгертіліне жол берілмейді.</w:t>
      </w:r>
    </w:p>
    <w:p>
      <w:pPr>
        <w:spacing w:after="0"/>
        <w:ind w:left="0"/>
        <w:jc w:val="both"/>
      </w:pPr>
      <w:r>
        <w:rPr>
          <w:rFonts w:ascii="Times New Roman"/>
          <w:b w:val="false"/>
          <w:i w:val="false"/>
          <w:color w:val="000000"/>
          <w:sz w:val="28"/>
        </w:rPr>
        <w:t>
      МЖӘ шарты тараптарының келісімі бойынша оның мерзімі 2015 жылы 31 қазанда "Мемлекеттік-жекешелік әріптестік туралы" Қазақстан Республикасы Заңының 4-бабының 2)-тармақшасымен бекітілген мерзім шегінде ұзартылуы мүмкін.</w:t>
      </w:r>
    </w:p>
    <w:p>
      <w:pPr>
        <w:spacing w:after="0"/>
        <w:ind w:left="0"/>
        <w:jc w:val="both"/>
      </w:pPr>
      <w:r>
        <w:rPr>
          <w:rFonts w:ascii="Times New Roman"/>
          <w:b w:val="false"/>
          <w:i w:val="false"/>
          <w:color w:val="000000"/>
          <w:sz w:val="28"/>
        </w:rPr>
        <w:t>
      МЖӘ шартының мерзімі мемлекеттік-жекешелік әріптестік туралы заңнамаға сәйкес МЖӘ шартында белгіленген тәртіппен сот шешімінің негізінде ұзартылуы мүмкін.</w:t>
      </w:r>
    </w:p>
    <w:p>
      <w:pPr>
        <w:spacing w:after="0"/>
        <w:ind w:left="0"/>
        <w:jc w:val="both"/>
      </w:pPr>
      <w:r>
        <w:rPr>
          <w:rFonts w:ascii="Times New Roman"/>
          <w:b w:val="false"/>
          <w:i w:val="false"/>
          <w:color w:val="000000"/>
          <w:sz w:val="28"/>
        </w:rPr>
        <w:t xml:space="preserve">
      МЖӘ шарты тараптарының келісімі бойынша МЖӘ шарты өзгертілуі және бұзылуы мүмкін. </w:t>
      </w:r>
    </w:p>
    <w:p>
      <w:pPr>
        <w:spacing w:after="0"/>
        <w:ind w:left="0"/>
        <w:jc w:val="both"/>
      </w:pPr>
      <w:r>
        <w:rPr>
          <w:rFonts w:ascii="Times New Roman"/>
          <w:b w:val="false"/>
          <w:i w:val="false"/>
          <w:color w:val="000000"/>
          <w:sz w:val="28"/>
        </w:rPr>
        <w:t>
      Мемлекеттік әріптестің немесе жеке әріптестің талап етуі бойынша МЖӘ шарты сот шешімімен бұзылуы мүмкін.</w:t>
      </w:r>
    </w:p>
    <w:p>
      <w:pPr>
        <w:spacing w:after="0"/>
        <w:ind w:left="0"/>
        <w:jc w:val="both"/>
      </w:pPr>
      <w:r>
        <w:rPr>
          <w:rFonts w:ascii="Times New Roman"/>
          <w:b w:val="false"/>
          <w:i w:val="false"/>
          <w:color w:val="000000"/>
          <w:sz w:val="28"/>
        </w:rPr>
        <w:t>
      МЖӘ, оның ішінде концессия шарты тіркеу туралы куәлік болған жағдайда жарамды.</w:t>
      </w:r>
    </w:p>
    <w:p>
      <w:pPr>
        <w:spacing w:after="0"/>
        <w:ind w:left="0"/>
        <w:jc w:val="both"/>
      </w:pPr>
      <w:r>
        <w:rPr>
          <w:rFonts w:ascii="Times New Roman"/>
          <w:b w:val="false"/>
          <w:i w:val="false"/>
          <w:color w:val="000000"/>
          <w:sz w:val="28"/>
        </w:rPr>
        <w:t>
      Бұл ретте, МЖӘ шарты, оның ішінде концессиялық, бекітілген болжамдалып отырған төлемдер МЖӘ жобасын іске асырудың орта мерзімді немесе ұзақ мерзімді кезеңі (МЖӘ жобасының ерекшеліктеріне қарай үш жылдан отыз жылға дейін) белгілерінен қарастырылады.</w:t>
      </w:r>
    </w:p>
    <w:p>
      <w:pPr>
        <w:spacing w:after="0"/>
        <w:ind w:left="0"/>
        <w:jc w:val="both"/>
      </w:pPr>
      <w:r>
        <w:rPr>
          <w:rFonts w:ascii="Times New Roman"/>
          <w:b w:val="false"/>
          <w:i w:val="false"/>
          <w:color w:val="000000"/>
          <w:sz w:val="28"/>
        </w:rPr>
        <w:t>
      МЖӘ жобасы мемлекеттік-жекешелік әріптестік шартының тараптары өздеріне алған барлық міндеттемелерді орындағаннан кейін аяқталды деп есептеледі.</w:t>
      </w:r>
    </w:p>
    <w:p>
      <w:pPr>
        <w:spacing w:after="0"/>
        <w:ind w:left="0"/>
        <w:jc w:val="both"/>
      </w:pPr>
      <w:r>
        <w:rPr>
          <w:rFonts w:ascii="Times New Roman"/>
          <w:b w:val="false"/>
          <w:i w:val="false"/>
          <w:color w:val="000000"/>
          <w:sz w:val="28"/>
        </w:rPr>
        <w:t>
      Концессия шарттары концедент және концессионермен шарт шеңберінде алынған міндеттемелерді толық орындаған және мерзімі өткен кезде өзінің күшін жояды.".</w:t>
      </w:r>
    </w:p>
    <w:bookmarkStart w:name="z39" w:id="21"/>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(Ерназарова З.А.) заңнамада белгіленген тәртіппен:</w:t>
      </w:r>
    </w:p>
    <w:bookmarkEnd w:id="21"/>
    <w:bookmarkStart w:name="z40" w:id="22"/>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22"/>
    <w:bookmarkStart w:name="z41" w:id="2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3"/>
    <w:bookmarkStart w:name="z42" w:id="2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24"/>
    <w:bookmarkStart w:name="z43" w:id="2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